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2996" w:rsidRDefault="00964AE4" w:rsidP="00E46446">
      <w:pPr>
        <w:pStyle w:val="Title"/>
        <w:outlineLvl w:val="0"/>
        <w:rPr>
          <w:b/>
          <w:sz w:val="24"/>
          <w:szCs w:val="24"/>
        </w:rPr>
      </w:pPr>
      <w:r w:rsidRPr="008C2996">
        <w:rPr>
          <w:b/>
          <w:sz w:val="24"/>
          <w:szCs w:val="24"/>
        </w:rPr>
        <w:t xml:space="preserve">AMENDMENT No. </w:t>
      </w:r>
      <w:r w:rsidR="000245CE" w:rsidRPr="008C2996">
        <w:rPr>
          <w:b/>
          <w:sz w:val="24"/>
          <w:szCs w:val="24"/>
        </w:rPr>
        <w:t>[X]</w:t>
      </w:r>
      <w:r w:rsidR="00756A40" w:rsidRPr="008C2996">
        <w:rPr>
          <w:b/>
          <w:sz w:val="24"/>
          <w:szCs w:val="24"/>
        </w:rPr>
        <w:t xml:space="preserve"> </w:t>
      </w:r>
    </w:p>
    <w:p w:rsidR="008C2996" w:rsidRDefault="00964AE4" w:rsidP="00E46446">
      <w:pPr>
        <w:pStyle w:val="Title"/>
        <w:outlineLvl w:val="0"/>
        <w:rPr>
          <w:b/>
          <w:sz w:val="24"/>
          <w:szCs w:val="24"/>
        </w:rPr>
      </w:pPr>
      <w:r w:rsidRPr="008C2996">
        <w:rPr>
          <w:b/>
          <w:sz w:val="24"/>
          <w:szCs w:val="24"/>
        </w:rPr>
        <w:t xml:space="preserve">OF </w:t>
      </w:r>
    </w:p>
    <w:p w:rsidR="00964AE4" w:rsidRPr="008C2996" w:rsidRDefault="004A5C37" w:rsidP="00E46446">
      <w:pPr>
        <w:pStyle w:val="Title"/>
        <w:outlineLvl w:val="0"/>
        <w:rPr>
          <w:b/>
          <w:sz w:val="24"/>
          <w:szCs w:val="24"/>
        </w:rPr>
      </w:pPr>
      <w:r w:rsidRPr="008C2996">
        <w:rPr>
          <w:b/>
          <w:sz w:val="24"/>
          <w:szCs w:val="24"/>
        </w:rPr>
        <w:t xml:space="preserve">POWER SALES </w:t>
      </w:r>
      <w:r w:rsidR="00964AE4" w:rsidRPr="008C2996">
        <w:rPr>
          <w:b/>
          <w:sz w:val="24"/>
          <w:szCs w:val="24"/>
        </w:rPr>
        <w:t>AGREEMENT</w:t>
      </w:r>
    </w:p>
    <w:p w:rsidR="00964AE4" w:rsidRPr="00414601" w:rsidRDefault="00964AE4">
      <w:pPr>
        <w:jc w:val="center"/>
        <w:rPr>
          <w:b/>
          <w:bCs/>
        </w:rPr>
      </w:pPr>
    </w:p>
    <w:p w:rsidR="008C2996" w:rsidRDefault="00964AE4" w:rsidP="0039502B">
      <w:r w:rsidRPr="00414601">
        <w:t xml:space="preserve">This Amendment No. </w:t>
      </w:r>
      <w:r w:rsidR="000245CE">
        <w:t>[X]</w:t>
      </w:r>
      <w:r w:rsidRPr="00414601">
        <w:t xml:space="preserve"> (“A</w:t>
      </w:r>
      <w:smartTag w:uri="urn:schemas-microsoft-com:office:smarttags" w:element="PersonName">
        <w:r w:rsidRPr="00414601">
          <w:t>m</w:t>
        </w:r>
      </w:smartTag>
      <w:r w:rsidRPr="00414601">
        <w:t>end</w:t>
      </w:r>
      <w:smartTag w:uri="urn:schemas-microsoft-com:office:smarttags" w:element="PersonName">
        <w:r w:rsidRPr="00414601">
          <w:t>m</w:t>
        </w:r>
      </w:smartTag>
      <w:r w:rsidRPr="00414601">
        <w:t xml:space="preserve">ent No. </w:t>
      </w:r>
      <w:r w:rsidR="000245CE">
        <w:t>[X]</w:t>
      </w:r>
      <w:r w:rsidRPr="00414601">
        <w:t xml:space="preserve">”), dated and effective as </w:t>
      </w:r>
      <w:r w:rsidR="00790EB1" w:rsidRPr="00414601">
        <w:t xml:space="preserve">of </w:t>
      </w:r>
      <w:r w:rsidR="006679A8">
        <w:rPr>
          <w:b/>
        </w:rPr>
        <w:t>December 4</w:t>
      </w:r>
      <w:r w:rsidR="00FD1F64" w:rsidRPr="00004252">
        <w:rPr>
          <w:b/>
        </w:rPr>
        <w:t>, 20</w:t>
      </w:r>
      <w:r w:rsidR="007F423D" w:rsidRPr="00004252">
        <w:rPr>
          <w:b/>
        </w:rPr>
        <w:t>2</w:t>
      </w:r>
      <w:r w:rsidR="00232D4A">
        <w:rPr>
          <w:b/>
        </w:rPr>
        <w:t>4</w:t>
      </w:r>
      <w:r w:rsidR="00C37AC6" w:rsidRPr="00414601">
        <w:t xml:space="preserve"> </w:t>
      </w:r>
      <w:r w:rsidRPr="00414601">
        <w:t xml:space="preserve">(the “Effective Date”), amends the </w:t>
      </w:r>
      <w:r w:rsidR="004A5C37" w:rsidRPr="00414601">
        <w:t xml:space="preserve">Power Sales </w:t>
      </w:r>
      <w:r w:rsidRPr="00414601">
        <w:t xml:space="preserve">Agreement, dated </w:t>
      </w:r>
      <w:r w:rsidR="00A2234A">
        <w:t>[D</w:t>
      </w:r>
      <w:r w:rsidR="004F646C">
        <w:t>ATE</w:t>
      </w:r>
      <w:r w:rsidR="00A2234A">
        <w:t>]</w:t>
      </w:r>
      <w:r w:rsidR="00360ED9" w:rsidRPr="00414601">
        <w:t xml:space="preserve"> </w:t>
      </w:r>
      <w:r w:rsidRPr="00414601">
        <w:t xml:space="preserve">(the “Agreement”) between </w:t>
      </w:r>
      <w:r w:rsidR="0061458A" w:rsidRPr="00224323">
        <w:t>UNITIL ENERGY SYSTEMS, INC.</w:t>
      </w:r>
      <w:r w:rsidR="0061458A" w:rsidDel="0061458A">
        <w:t xml:space="preserve"> </w:t>
      </w:r>
      <w:r w:rsidR="00414601">
        <w:t xml:space="preserve">(“Buyer”) </w:t>
      </w:r>
      <w:r w:rsidR="004A5C37" w:rsidRPr="00414601">
        <w:t xml:space="preserve">and </w:t>
      </w:r>
      <w:r w:rsidR="00A2234A">
        <w:t>[C</w:t>
      </w:r>
      <w:r w:rsidR="004F646C">
        <w:t>OMPANY NAME</w:t>
      </w:r>
      <w:r w:rsidR="00A2234A">
        <w:t>]</w:t>
      </w:r>
      <w:r w:rsidR="00414601">
        <w:t xml:space="preserve"> (“Seller”)</w:t>
      </w:r>
      <w:r w:rsidR="004A5C37" w:rsidRPr="00414601">
        <w:t xml:space="preserve"> </w:t>
      </w:r>
      <w:r w:rsidRPr="00414601">
        <w:t>(collectively, the “Parties”).</w:t>
      </w:r>
    </w:p>
    <w:p w:rsidR="004851A3" w:rsidRDefault="004851A3" w:rsidP="0039502B">
      <w:r>
        <w:t xml:space="preserve">Notwithstanding Article 21(d) of the Agreement or anything else to the contrary in either this Amendment No. </w:t>
      </w:r>
      <w:r w:rsidR="000245CE">
        <w:t>[X]</w:t>
      </w:r>
      <w:r>
        <w:t xml:space="preserve"> or the Agree</w:t>
      </w:r>
      <w:smartTag w:uri="urn:schemas-microsoft-com:office:smarttags" w:element="PersonName">
        <w:r>
          <w:t>m</w:t>
        </w:r>
      </w:smartTag>
      <w:r>
        <w:t>ent, the Parties’ obligations under this A</w:t>
      </w:r>
      <w:smartTag w:uri="urn:schemas-microsoft-com:office:smarttags" w:element="PersonName">
        <w:r>
          <w:t>m</w:t>
        </w:r>
      </w:smartTag>
      <w:r>
        <w:t>end</w:t>
      </w:r>
      <w:smartTag w:uri="urn:schemas-microsoft-com:office:smarttags" w:element="PersonName">
        <w:r>
          <w:t>m</w:t>
        </w:r>
      </w:smartTag>
      <w:r>
        <w:t xml:space="preserve">ent No. </w:t>
      </w:r>
      <w:r w:rsidR="000245CE">
        <w:t>[X]</w:t>
      </w:r>
      <w:r>
        <w:t xml:space="preserve"> are subject to Buyer obtaining approval fro</w:t>
      </w:r>
      <w:smartTag w:uri="urn:schemas-microsoft-com:office:smarttags" w:element="PersonName">
        <w:r>
          <w:t>m</w:t>
        </w:r>
      </w:smartTag>
      <w:r>
        <w:t xml:space="preserve"> the </w:t>
      </w:r>
      <w:r w:rsidR="00A2234A">
        <w:t xml:space="preserve">NHPUC </w:t>
      </w:r>
      <w:r>
        <w:t>of the inclusion in retail rates of the a</w:t>
      </w:r>
      <w:smartTag w:uri="urn:schemas-microsoft-com:office:smarttags" w:element="PersonName">
        <w:r>
          <w:t>m</w:t>
        </w:r>
      </w:smartTag>
      <w:r>
        <w:t>ounts payable by Buyer to Seller under this A</w:t>
      </w:r>
      <w:smartTag w:uri="urn:schemas-microsoft-com:office:smarttags" w:element="PersonName">
        <w:r>
          <w:t>m</w:t>
        </w:r>
      </w:smartTag>
      <w:r>
        <w:t>end</w:t>
      </w:r>
      <w:smartTag w:uri="urn:schemas-microsoft-com:office:smarttags" w:element="PersonName">
        <w:r>
          <w:t>m</w:t>
        </w:r>
      </w:smartTag>
      <w:r>
        <w:t xml:space="preserve">ent No. </w:t>
      </w:r>
      <w:r w:rsidR="000245CE">
        <w:t>[X]</w:t>
      </w:r>
      <w:r>
        <w:t xml:space="preserve">, without </w:t>
      </w:r>
      <w:smartTag w:uri="urn:schemas-microsoft-com:office:smarttags" w:element="PersonName">
        <w:r>
          <w:t>m</w:t>
        </w:r>
      </w:smartTag>
      <w:r>
        <w:t xml:space="preserve">aterial </w:t>
      </w:r>
      <w:smartTag w:uri="urn:schemas-microsoft-com:office:smarttags" w:element="PersonName">
        <w:r>
          <w:t>m</w:t>
        </w:r>
      </w:smartTag>
      <w:r>
        <w:t>odification to the obligations of either Party under this A</w:t>
      </w:r>
      <w:smartTag w:uri="urn:schemas-microsoft-com:office:smarttags" w:element="PersonName">
        <w:r>
          <w:t>m</w:t>
        </w:r>
      </w:smartTag>
      <w:r>
        <w:t>end</w:t>
      </w:r>
      <w:smartTag w:uri="urn:schemas-microsoft-com:office:smarttags" w:element="PersonName">
        <w:r>
          <w:t>m</w:t>
        </w:r>
      </w:smartTag>
      <w:r>
        <w:t xml:space="preserve">ent No. </w:t>
      </w:r>
      <w:r w:rsidR="000245CE">
        <w:t>[X]</w:t>
      </w:r>
      <w:r>
        <w:t>.</w:t>
      </w:r>
      <w:r w:rsidR="009C1B0E">
        <w:t xml:space="preserve"> </w:t>
      </w:r>
      <w:r>
        <w:t>Buyer shall use its best efforts to obtain pro</w:t>
      </w:r>
      <w:smartTag w:uri="urn:schemas-microsoft-com:office:smarttags" w:element="PersonName">
        <w:r>
          <w:t>m</w:t>
        </w:r>
      </w:smartTag>
      <w:r>
        <w:t xml:space="preserve">pt approval of such rates.  If Buyer is unable to obtain </w:t>
      </w:r>
      <w:r w:rsidR="00A2234A">
        <w:t>NHPUC</w:t>
      </w:r>
      <w:r>
        <w:t xml:space="preserve"> approval by</w:t>
      </w:r>
      <w:r w:rsidR="00A2234A">
        <w:t xml:space="preserve"> </w:t>
      </w:r>
      <w:r w:rsidR="006679A8">
        <w:rPr>
          <w:b/>
        </w:rPr>
        <w:t>December 13</w:t>
      </w:r>
      <w:r w:rsidR="00232D4A">
        <w:rPr>
          <w:b/>
        </w:rPr>
        <w:t>, 2024</w:t>
      </w:r>
      <w:r>
        <w:t xml:space="preserve">, Buyer and Seller agree to review the status of such approval process and determine whether to continue to pursue the transaction contemplated in this Amendment No. </w:t>
      </w:r>
      <w:r w:rsidR="000245CE">
        <w:t>[X]</w:t>
      </w:r>
      <w:r>
        <w:t>.</w:t>
      </w:r>
      <w:r w:rsidR="0039502B">
        <w:t xml:space="preserve"> </w:t>
      </w:r>
      <w:r>
        <w:t>If the Parties cannot agree as to how to continue such transaction, this A</w:t>
      </w:r>
      <w:smartTag w:uri="urn:schemas-microsoft-com:office:smarttags" w:element="PersonName">
        <w:r>
          <w:t>m</w:t>
        </w:r>
      </w:smartTag>
      <w:r>
        <w:t>end</w:t>
      </w:r>
      <w:smartTag w:uri="urn:schemas-microsoft-com:office:smarttags" w:element="PersonName">
        <w:r>
          <w:t>m</w:t>
        </w:r>
      </w:smartTag>
      <w:r>
        <w:t xml:space="preserve">ent No. </w:t>
      </w:r>
      <w:r w:rsidR="000245CE">
        <w:t>[X]</w:t>
      </w:r>
      <w:r>
        <w:t xml:space="preserve"> shall ter</w:t>
      </w:r>
      <w:smartTag w:uri="urn:schemas-microsoft-com:office:smarttags" w:element="PersonName">
        <w:r>
          <w:t>m</w:t>
        </w:r>
      </w:smartTag>
      <w:r>
        <w:t>inate and be null and void without liability to either Party.</w:t>
      </w:r>
    </w:p>
    <w:p w:rsidR="00964AE4" w:rsidRDefault="004851A3" w:rsidP="004851A3">
      <w:r>
        <w:t xml:space="preserve">Buyer shall bear the cost of the </w:t>
      </w:r>
      <w:r w:rsidR="00A2234A">
        <w:t>NHPUC</w:t>
      </w:r>
      <w:r>
        <w:t xml:space="preserve"> filing described above except for any costs associated with Seller’s intervention.  Buyer shall request that the </w:t>
      </w:r>
      <w:r w:rsidR="00A2234A">
        <w:t>NHPUC</w:t>
      </w:r>
      <w:r>
        <w:t xml:space="preserve"> give confidential treatment to the terms of this Amendment No. </w:t>
      </w:r>
      <w:r w:rsidR="000245CE">
        <w:t>[X]</w:t>
      </w:r>
      <w:r>
        <w:t>, which is the result of a competitive solicitation held by Buyer.</w:t>
      </w:r>
    </w:p>
    <w:p w:rsidR="00964AE4" w:rsidRPr="00414601" w:rsidRDefault="00964AE4">
      <w:r w:rsidRPr="00414601">
        <w:t xml:space="preserve">The Parties hereby agree to further amend the Agreement as follows: </w:t>
      </w:r>
    </w:p>
    <w:p w:rsidR="00964AE4" w:rsidRPr="00414601" w:rsidRDefault="00964AE4">
      <w:pPr>
        <w:pStyle w:val="BodyText"/>
        <w:ind w:left="720" w:hanging="720"/>
        <w:rPr>
          <w:b w:val="0"/>
          <w:bCs w:val="0"/>
          <w:sz w:val="24"/>
        </w:rPr>
      </w:pPr>
      <w:r w:rsidRPr="00414601">
        <w:rPr>
          <w:b w:val="0"/>
          <w:bCs w:val="0"/>
          <w:sz w:val="24"/>
        </w:rPr>
        <w:t>1.</w:t>
      </w:r>
      <w:r w:rsidRPr="00414601">
        <w:rPr>
          <w:b w:val="0"/>
          <w:bCs w:val="0"/>
          <w:sz w:val="24"/>
        </w:rPr>
        <w:tab/>
      </w:r>
      <w:r w:rsidR="00F946B1" w:rsidRPr="00414601">
        <w:rPr>
          <w:b w:val="0"/>
          <w:bCs w:val="0"/>
          <w:sz w:val="24"/>
        </w:rPr>
        <w:t>Appendix A is a</w:t>
      </w:r>
      <w:smartTag w:uri="urn:schemas-microsoft-com:office:smarttags" w:element="PersonName">
        <w:r w:rsidR="00F946B1" w:rsidRPr="00414601">
          <w:rPr>
            <w:b w:val="0"/>
            <w:bCs w:val="0"/>
            <w:sz w:val="24"/>
          </w:rPr>
          <w:t>m</w:t>
        </w:r>
      </w:smartTag>
      <w:r w:rsidR="00F946B1" w:rsidRPr="00414601">
        <w:rPr>
          <w:b w:val="0"/>
          <w:bCs w:val="0"/>
          <w:sz w:val="24"/>
        </w:rPr>
        <w:t>ended a</w:t>
      </w:r>
      <w:r w:rsidR="009F5FCC" w:rsidRPr="00414601">
        <w:rPr>
          <w:b w:val="0"/>
          <w:bCs w:val="0"/>
          <w:sz w:val="24"/>
        </w:rPr>
        <w:t xml:space="preserve">s attached hereto.  The amendment adds a new section reflecting the results of the RFP issued by </w:t>
      </w:r>
      <w:r w:rsidR="001E720B">
        <w:rPr>
          <w:b w:val="0"/>
          <w:bCs w:val="0"/>
          <w:sz w:val="24"/>
        </w:rPr>
        <w:t xml:space="preserve">Buyer </w:t>
      </w:r>
      <w:r w:rsidR="009F5FCC" w:rsidRPr="00414601">
        <w:rPr>
          <w:b w:val="0"/>
          <w:bCs w:val="0"/>
          <w:sz w:val="24"/>
        </w:rPr>
        <w:t>on</w:t>
      </w:r>
      <w:r w:rsidR="00360ED9" w:rsidRPr="00414601">
        <w:rPr>
          <w:b w:val="0"/>
          <w:bCs w:val="0"/>
          <w:sz w:val="24"/>
        </w:rPr>
        <w:t xml:space="preserve"> </w:t>
      </w:r>
      <w:r w:rsidR="006679A8">
        <w:rPr>
          <w:b w:val="0"/>
          <w:bCs w:val="0"/>
          <w:sz w:val="24"/>
        </w:rPr>
        <w:t>November 5</w:t>
      </w:r>
      <w:r w:rsidR="00232D4A">
        <w:rPr>
          <w:b w:val="0"/>
          <w:bCs w:val="0"/>
          <w:sz w:val="24"/>
        </w:rPr>
        <w:t>, 2024</w:t>
      </w:r>
      <w:r w:rsidR="009F5FCC" w:rsidRPr="00414601">
        <w:rPr>
          <w:b w:val="0"/>
          <w:bCs w:val="0"/>
          <w:sz w:val="24"/>
        </w:rPr>
        <w:t xml:space="preserve">.  </w:t>
      </w:r>
    </w:p>
    <w:p w:rsidR="009F5FCC" w:rsidRPr="00414601" w:rsidRDefault="009F5FCC" w:rsidP="007324D4">
      <w:pPr>
        <w:pStyle w:val="BodyText"/>
        <w:ind w:left="720" w:hanging="720"/>
        <w:rPr>
          <w:sz w:val="24"/>
        </w:rPr>
      </w:pPr>
      <w:r w:rsidRPr="00414601">
        <w:rPr>
          <w:b w:val="0"/>
          <w:bCs w:val="0"/>
          <w:sz w:val="24"/>
        </w:rPr>
        <w:t>2.</w:t>
      </w:r>
      <w:r w:rsidRPr="00414601">
        <w:rPr>
          <w:b w:val="0"/>
          <w:bCs w:val="0"/>
          <w:sz w:val="24"/>
        </w:rPr>
        <w:tab/>
        <w:t>Appendix B is a</w:t>
      </w:r>
      <w:smartTag w:uri="urn:schemas-microsoft-com:office:smarttags" w:element="PersonName">
        <w:r w:rsidRPr="00414601">
          <w:rPr>
            <w:b w:val="0"/>
            <w:bCs w:val="0"/>
            <w:sz w:val="24"/>
          </w:rPr>
          <w:t>m</w:t>
        </w:r>
      </w:smartTag>
      <w:r w:rsidRPr="00414601">
        <w:rPr>
          <w:b w:val="0"/>
          <w:bCs w:val="0"/>
          <w:sz w:val="24"/>
        </w:rPr>
        <w:t>ended as attached hereto.  The amendment adds pricing associated with the results of the RFP issued by</w:t>
      </w:r>
      <w:r w:rsidR="001E720B">
        <w:t xml:space="preserve"> </w:t>
      </w:r>
      <w:r w:rsidR="001E720B">
        <w:rPr>
          <w:b w:val="0"/>
          <w:bCs w:val="0"/>
          <w:sz w:val="24"/>
        </w:rPr>
        <w:t xml:space="preserve">Buyer </w:t>
      </w:r>
      <w:r w:rsidR="000250CA">
        <w:rPr>
          <w:b w:val="0"/>
          <w:bCs w:val="0"/>
          <w:sz w:val="24"/>
        </w:rPr>
        <w:t xml:space="preserve">on </w:t>
      </w:r>
      <w:r w:rsidR="006679A8">
        <w:rPr>
          <w:b w:val="0"/>
          <w:bCs w:val="0"/>
          <w:sz w:val="24"/>
        </w:rPr>
        <w:t>November 5</w:t>
      </w:r>
      <w:r w:rsidR="00232D4A">
        <w:rPr>
          <w:b w:val="0"/>
          <w:bCs w:val="0"/>
          <w:sz w:val="24"/>
        </w:rPr>
        <w:t>, 2024</w:t>
      </w:r>
      <w:r w:rsidR="00BD7E7A" w:rsidRPr="00414601">
        <w:rPr>
          <w:b w:val="0"/>
          <w:bCs w:val="0"/>
          <w:sz w:val="24"/>
        </w:rPr>
        <w:t xml:space="preserve">.  </w:t>
      </w:r>
    </w:p>
    <w:p w:rsidR="001F6A23" w:rsidRPr="00A30C83" w:rsidRDefault="001F6A23" w:rsidP="00A30C83">
      <w:pPr>
        <w:pStyle w:val="BodyText"/>
        <w:ind w:left="720" w:hanging="720"/>
        <w:rPr>
          <w:b w:val="0"/>
          <w:bCs w:val="0"/>
          <w:sz w:val="24"/>
        </w:rPr>
      </w:pPr>
      <w:r w:rsidRPr="00A30C83">
        <w:rPr>
          <w:b w:val="0"/>
          <w:bCs w:val="0"/>
          <w:sz w:val="24"/>
        </w:rPr>
        <w:t>3.</w:t>
      </w:r>
      <w:r w:rsidRPr="00A30C83">
        <w:rPr>
          <w:b w:val="0"/>
          <w:bCs w:val="0"/>
          <w:sz w:val="24"/>
        </w:rPr>
        <w:tab/>
        <w:t xml:space="preserve">Appendix B indicates that the prices listed for the Large Customer Group are Fixed Monthly Adders, therefore the Contract Rate will be calculated as the sum of the Average Weighted RT LMP and the Fixed Monthly Adder as shown in Equation 1.  The Average Weighted RT LMP is calculated in accordance with Equation 2.  </w:t>
      </w:r>
    </w:p>
    <w:p w:rsidR="00756A40" w:rsidRPr="00756A40" w:rsidRDefault="00756A40" w:rsidP="00756A40">
      <w:pPr>
        <w:pStyle w:val="Equation"/>
      </w:pPr>
      <w:r w:rsidRPr="00756A40">
        <w:t xml:space="preserve">Equation </w:t>
      </w:r>
      <w:r w:rsidR="00DB107C">
        <w:fldChar w:fldCharType="begin"/>
      </w:r>
      <w:r w:rsidR="00D63F3B">
        <w:instrText xml:space="preserve"> SEQ Equation \* ARABIC </w:instrText>
      </w:r>
      <w:r w:rsidR="00DB107C">
        <w:fldChar w:fldCharType="separate"/>
      </w:r>
      <w:r w:rsidR="00C43623">
        <w:rPr>
          <w:noProof/>
        </w:rPr>
        <w:t>1</w:t>
      </w:r>
      <w:r w:rsidR="00DB107C">
        <w:rPr>
          <w:noProof/>
        </w:rPr>
        <w:fldChar w:fldCharType="end"/>
      </w:r>
    </w:p>
    <w:p w:rsidR="001F6A23" w:rsidRPr="00E47CBC" w:rsidRDefault="004D784A" w:rsidP="001F6A23">
      <w:r>
        <w:rPr>
          <w:noProof/>
        </w:rPr>
        <mc:AlternateContent>
          <mc:Choice Requires="wps">
            <w:drawing>
              <wp:inline distT="0" distB="0" distL="0" distR="0" wp14:anchorId="025D90FB" wp14:editId="5A8F9DE3">
                <wp:extent cx="5328920" cy="756920"/>
                <wp:effectExtent l="0" t="0" r="0" b="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920" cy="422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4649" w:rsidRDefault="005E4649">
                            <m:oMathPara>
                              <m:oMath>
                                <m:r>
                                  <w:rPr>
                                    <w:rFonts w:ascii="Cambria Math" w:hAnsi="Cambria Math"/>
                                  </w:rPr>
                                  <m:t>Contract Rate=Average Weighted RT LMP+Fixed Monthly Adder</m:t>
                                </m:r>
                              </m:oMath>
                            </m:oMathPara>
                          </w:p>
                        </w:txbxContent>
                      </wps:txbx>
                      <wps:bodyPr rot="0" vert="horz" wrap="square" lIns="91440" tIns="45720" rIns="91440" bIns="45720" anchor="t" anchorCtr="0" upright="1">
                        <a:spAutoFit/>
                      </wps:bodyPr>
                    </wps:wsp>
                  </a:graphicData>
                </a:graphic>
              </wp:inline>
            </w:drawing>
          </mc:Choice>
          <mc:Fallback>
            <w:pict>
              <v:shapetype w14:anchorId="025D90FB" id="_x0000_t202" coordsize="21600,21600" o:spt="202" path="m,l,21600r21600,l21600,xe">
                <v:stroke joinstyle="miter"/>
                <v:path gradientshapeok="t" o:connecttype="rect"/>
              </v:shapetype>
              <v:shape id="Text Box 2" o:spid="_x0000_s1026" type="#_x0000_t202" style="width:419.6pt;height:5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" stroked="f">
                <v:textbox style="mso-fit-shape-to-text:t">
                  <w:txbxContent>
                    <w:p w:rsidR="005E4649" w:rsidRDefault="005E4649">
                      <m:oMathPara>
                        <m:oMath>
                          <m:r>
                            <w:rPr>
                              <w:rFonts w:ascii="Cambria Math" w:hAnsi="Cambria Math"/>
                            </w:rPr>
                            <m:t>Contract Rate=Average Weighted RT LMP+Fixed Monthly Adder</m:t>
                          </m:r>
                        </m:oMath>
                      </m:oMathPara>
                    </w:p>
                  </w:txbxContent>
                </v:textbox>
                <w10:anchorlock/>
              </v:shape>
            </w:pict>
          </mc:Fallback>
        </mc:AlternateContent>
      </w:r>
    </w:p>
    <w:p w:rsidR="001F6A23" w:rsidRPr="00E47CBC" w:rsidRDefault="001F6A23" w:rsidP="001F6A23">
      <w:pPr>
        <w:ind w:firstLine="720"/>
      </w:pPr>
    </w:p>
    <w:p w:rsidR="001F6A23" w:rsidRPr="00E47CBC" w:rsidRDefault="001F6A23" w:rsidP="00A30C83">
      <w:pPr>
        <w:ind w:left="720"/>
      </w:pPr>
      <w:r w:rsidRPr="00E47CBC">
        <w:t xml:space="preserve">The Average Weighted RT LMP shall be calculated using the MWH of Delivered Energy reported for the Large Customer Group default service load asset, Load Asset number </w:t>
      </w:r>
      <w:r>
        <w:t>10019</w:t>
      </w:r>
      <w:r w:rsidRPr="00E47CBC">
        <w:t xml:space="preserve">, and the hourly real time locational marginal prices (“RT </w:t>
      </w:r>
      <w:r w:rsidRPr="00E47CBC">
        <w:lastRenderedPageBreak/>
        <w:t xml:space="preserve">LMP”) for the settlement location of Load Asset </w:t>
      </w:r>
      <w:r>
        <w:t>10019</w:t>
      </w:r>
      <w:r w:rsidRPr="00E47CBC">
        <w:t xml:space="preserve">, which is currently the </w:t>
      </w:r>
      <w:r>
        <w:t>New Hampshire Load Zone (4002)</w:t>
      </w:r>
      <w:r w:rsidRPr="00E47CBC">
        <w:t xml:space="preserve">.  The Average Weighted RT LMP equals the sum of the products of the RT LMP and the Delivered Energy (MWH) of Load Asset </w:t>
      </w:r>
      <w:r>
        <w:t>10019</w:t>
      </w:r>
      <w:r w:rsidRPr="00E47CBC">
        <w:t xml:space="preserve"> in each hour of the month of service, divided by the sum of Delivered Energy (MWH) of Load Asset </w:t>
      </w:r>
      <w:r>
        <w:t>10019</w:t>
      </w:r>
      <w:r w:rsidRPr="00E47CBC">
        <w:t xml:space="preserve"> for the month of service, as shown in Equation 2.  </w:t>
      </w:r>
    </w:p>
    <w:p w:rsidR="00756A40" w:rsidRDefault="00756A40" w:rsidP="00756A40">
      <w:pPr>
        <w:pStyle w:val="Equation"/>
      </w:pPr>
      <w:r>
        <w:t xml:space="preserve">Equation </w:t>
      </w:r>
      <w:r w:rsidR="00DB107C">
        <w:fldChar w:fldCharType="begin"/>
      </w:r>
      <w:r w:rsidR="00D63F3B">
        <w:instrText xml:space="preserve"> SEQ Equation \* ARABIC </w:instrText>
      </w:r>
      <w:r w:rsidR="00DB107C">
        <w:fldChar w:fldCharType="separate"/>
      </w:r>
      <w:r w:rsidR="00C43623">
        <w:rPr>
          <w:noProof/>
        </w:rPr>
        <w:t>2</w:t>
      </w:r>
      <w:r w:rsidR="00DB107C">
        <w:rPr>
          <w:noProof/>
        </w:rPr>
        <w:fldChar w:fldCharType="end"/>
      </w:r>
    </w:p>
    <w:p w:rsidR="001F6A23" w:rsidRPr="00B93307" w:rsidRDefault="004D784A" w:rsidP="001F6A23">
      <w:pPr>
        <w:ind w:left="720"/>
        <w:rPr>
          <w:i/>
        </w:rPr>
      </w:pPr>
      <w:r>
        <w:rPr>
          <w:noProof/>
        </w:rPr>
        <mc:AlternateContent>
          <mc:Choice Requires="wps">
            <w:drawing>
              <wp:inline distT="0" distB="0" distL="0" distR="0" wp14:anchorId="52A8E9DA" wp14:editId="35203F9D">
                <wp:extent cx="5328920" cy="756920"/>
                <wp:effectExtent l="0" t="0" r="0" b="63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920" cy="880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4649" w:rsidRDefault="005E4649" w:rsidP="00756A40">
                            <m:oMathPara>
                              <m:oMath>
                                <m:r>
                                  <w:rPr>
                                    <w:rFonts w:ascii="Cambria Math" w:hAnsi="Cambria Math"/>
                                  </w:rPr>
                                  <m:t xml:space="preserve">Average Weighted RT LMP= </m:t>
                                </m:r>
                                <m:f>
                                  <m:fPr>
                                    <m:ctrlPr>
                                      <w:rPr>
                                        <w:rFonts w:ascii="Cambria Math" w:hAnsi="Cambria Math"/>
                                        <w:i/>
                                      </w:rPr>
                                    </m:ctrlPr>
                                  </m:fPr>
                                  <m:num>
                                    <m:r>
                                      <w:rPr>
                                        <w:rFonts w:ascii="Cambria Math" w:hAnsi="Cambria Math"/>
                                      </w:rPr>
                                      <m:t>Sum [hourly RT LMP * hourly Delivered Energy (MWH) of Load Asset 10019]</m:t>
                                    </m:r>
                                  </m:num>
                                  <m:den>
                                    <m:r>
                                      <w:rPr>
                                        <w:rFonts w:ascii="Cambria Math" w:hAnsi="Cambria Math"/>
                                      </w:rPr>
                                      <m:t>Sum [hourly Delivered Energy (MWH) of Load Asset 10019]</m:t>
                                    </m:r>
                                  </m:den>
                                </m:f>
                              </m:oMath>
                            </m:oMathPara>
                          </w:p>
                        </w:txbxContent>
                      </wps:txbx>
                      <wps:bodyPr rot="0" vert="horz" wrap="square" lIns="91440" tIns="45720" rIns="91440" bIns="45720" anchor="t" anchorCtr="0" upright="1">
                        <a:spAutoFit/>
                      </wps:bodyPr>
                    </wps:wsp>
                  </a:graphicData>
                </a:graphic>
              </wp:inline>
            </w:drawing>
          </mc:Choice>
          <mc:Fallback>
            <w:pict>
              <v:shape w14:anchorId="52A8E9DA" id="_x0000_s1027" type="#_x0000_t202" style="width:419.6pt;height:5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" stroked="f">
                <v:textbox style="mso-fit-shape-to-text:t">
                  <w:txbxContent>
                    <w:p w:rsidR="005E4649" w:rsidRDefault="005E4649" w:rsidP="00756A40">
                      <m:oMathPara>
                        <m:oMath>
                          <m:r>
                            <w:rPr>
                              <w:rFonts w:ascii="Cambria Math" w:hAnsi="Cambria Math"/>
                            </w:rPr>
                            <m:t xml:space="preserve">Average Weighted RT LMP= </m:t>
                          </m:r>
                          <m:f>
                            <m:fPr>
                              <m:ctrlPr>
                                <w:rPr>
                                  <w:rFonts w:ascii="Cambria Math" w:hAnsi="Cambria Math"/>
                                  <w:i/>
                                </w:rPr>
                              </m:ctrlPr>
                            </m:fPr>
                            <m:num>
                              <m:r>
                                <w:rPr>
                                  <w:rFonts w:ascii="Cambria Math" w:hAnsi="Cambria Math"/>
                                </w:rPr>
                                <m:t>Sum [hourly RT LMP * hourly Delivered Energy (MWH) of Load Asset 10019]</m:t>
                              </m:r>
                            </m:num>
                            <m:den>
                              <m:r>
                                <w:rPr>
                                  <w:rFonts w:ascii="Cambria Math" w:hAnsi="Cambria Math"/>
                                </w:rPr>
                                <m:t>Sum [hourly Delivered Energy (MWH) of Load Asset 10019]</m:t>
                              </m:r>
                            </m:den>
                          </m:f>
                        </m:oMath>
                      </m:oMathPara>
                    </w:p>
                  </w:txbxContent>
                </v:textbox>
                <w10:anchorlock/>
              </v:shape>
            </w:pict>
          </mc:Fallback>
        </mc:AlternateContent>
      </w:r>
    </w:p>
    <w:p w:rsidR="001F6A23" w:rsidRPr="00B93307" w:rsidRDefault="001F6A23" w:rsidP="00A30C83">
      <w:pPr>
        <w:ind w:left="720"/>
      </w:pPr>
      <w:r>
        <w:t xml:space="preserve">The Large Customer Group prices listed in Appendix B are Fixed Monthly Adders requiring the </w:t>
      </w:r>
      <w:r w:rsidRPr="00B93307">
        <w:t xml:space="preserve">Contract Rate </w:t>
      </w:r>
      <w:r>
        <w:t xml:space="preserve">to be calculated as described in Equation 1 and Equation 2, and the Contract Rate </w:t>
      </w:r>
      <w:r w:rsidRPr="00B93307">
        <w:t xml:space="preserve">will be determined and affirmed by both Buyer and Seller by the third business day following the month of service.  Once agreed upon, the Contract Rate for the month of service shall be final and shall not be subject to change in the event that either the </w:t>
      </w:r>
      <w:r>
        <w:t>New Hampshire</w:t>
      </w:r>
      <w:r w:rsidRPr="00B93307">
        <w:t xml:space="preserve"> RT LMP or the Delivered Energy (MWH) of Load Asset </w:t>
      </w:r>
      <w:r>
        <w:t>10019</w:t>
      </w:r>
      <w:r w:rsidRPr="00B93307">
        <w:t xml:space="preserve"> are subsequently revised or restated.  </w:t>
      </w:r>
    </w:p>
    <w:p w:rsidR="008A36B5" w:rsidRDefault="008A36B5" w:rsidP="00B34CC2"/>
    <w:p w:rsidR="00272003" w:rsidRDefault="00272003" w:rsidP="00B34CC2"/>
    <w:p w:rsidR="00272003" w:rsidRDefault="00272003" w:rsidP="00B34CC2"/>
    <w:p w:rsidR="00272003" w:rsidRDefault="00272003" w:rsidP="00B34CC2"/>
    <w:p w:rsidR="00272003" w:rsidRDefault="00272003" w:rsidP="00B34CC2"/>
    <w:p w:rsidR="008A36B5" w:rsidRPr="00F86CD1" w:rsidRDefault="008A36B5" w:rsidP="00B34CC2"/>
    <w:p w:rsidR="00B34CC2" w:rsidRPr="00FC0C53" w:rsidRDefault="00B34CC2" w:rsidP="00B34CC2">
      <w:pPr>
        <w:rPr>
          <w:u w:val="thick"/>
        </w:rPr>
      </w:pPr>
    </w:p>
    <w:p w:rsidR="004C396B" w:rsidRDefault="004C396B" w:rsidP="00A2234A"/>
    <w:p w:rsidR="00964AE4" w:rsidRPr="00414601" w:rsidRDefault="00254445" w:rsidP="0039502B">
      <w:pPr>
        <w:pStyle w:val="BodyText2"/>
        <w:rPr>
          <w:sz w:val="24"/>
        </w:rPr>
      </w:pPr>
      <w:r>
        <w:rPr>
          <w:sz w:val="24"/>
        </w:rPr>
        <w:br w:type="page"/>
      </w:r>
      <w:r w:rsidR="00964AE4" w:rsidRPr="00414601">
        <w:rPr>
          <w:sz w:val="24"/>
        </w:rPr>
        <w:lastRenderedPageBreak/>
        <w:t xml:space="preserve">IN WITNESS WHEREOF, the Parties have caused their duly authorized representatives to execute and deliver this Amendment No. </w:t>
      </w:r>
      <w:r w:rsidR="000245CE">
        <w:rPr>
          <w:sz w:val="24"/>
        </w:rPr>
        <w:t>[X]</w:t>
      </w:r>
      <w:r w:rsidR="00964AE4" w:rsidRPr="00414601">
        <w:rPr>
          <w:sz w:val="24"/>
        </w:rPr>
        <w:t xml:space="preserve"> to the Agreement effective as of the Effective Date.</w:t>
      </w:r>
    </w:p>
    <w:p w:rsidR="00964AE4" w:rsidRPr="00414601" w:rsidRDefault="00964AE4" w:rsidP="0039502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pPr>
    </w:p>
    <w:p w:rsidR="004B1961" w:rsidRPr="006D20D0" w:rsidRDefault="0061458A" w:rsidP="0039502B">
      <w:pPr>
        <w:outlineLvl w:val="0"/>
        <w:rPr>
          <w:b/>
        </w:rPr>
      </w:pPr>
      <w:r w:rsidRPr="006D20D0">
        <w:rPr>
          <w:b/>
        </w:rPr>
        <w:t>U</w:t>
      </w:r>
      <w:r w:rsidR="006D20D0" w:rsidRPr="006D20D0">
        <w:rPr>
          <w:b/>
        </w:rPr>
        <w:t>nitil Energy Systems, Inc.</w:t>
      </w:r>
      <w:r w:rsidR="004B1961" w:rsidRPr="006D20D0">
        <w:rPr>
          <w:b/>
        </w:rPr>
        <w:tab/>
      </w:r>
    </w:p>
    <w:p w:rsidR="004B1961" w:rsidRDefault="004B1961" w:rsidP="004B1961"/>
    <w:p w:rsidR="004B1961" w:rsidRDefault="004B1961" w:rsidP="004B1961">
      <w:r>
        <w:t xml:space="preserve">BY:   </w:t>
      </w:r>
      <w:r w:rsidR="004F646C">
        <w:t>______________________________________</w:t>
      </w:r>
      <w:r>
        <w:t xml:space="preserve">                                                   </w:t>
      </w:r>
    </w:p>
    <w:p w:rsidR="004B1961" w:rsidRDefault="004B1961" w:rsidP="004B1961"/>
    <w:p w:rsidR="004B1961" w:rsidRDefault="007A14C5" w:rsidP="004B1961">
      <w:r>
        <w:tab/>
      </w:r>
      <w:r w:rsidR="006757CA">
        <w:t>Joseph Conneely</w:t>
      </w:r>
    </w:p>
    <w:p w:rsidR="004B1961" w:rsidRDefault="00D63F3B" w:rsidP="00756A40">
      <w:pPr>
        <w:ind w:firstLine="720"/>
        <w:outlineLvl w:val="0"/>
      </w:pPr>
      <w:r>
        <w:t>Vice President</w:t>
      </w:r>
    </w:p>
    <w:p w:rsidR="004B1961" w:rsidRDefault="004B1961" w:rsidP="004B1961"/>
    <w:p w:rsidR="004B1961" w:rsidRDefault="004B1961" w:rsidP="004B1961"/>
    <w:p w:rsidR="004B1961" w:rsidRDefault="004B1961" w:rsidP="004B1961"/>
    <w:p w:rsidR="004B1961" w:rsidRPr="006D20D0" w:rsidRDefault="00A2234A" w:rsidP="004B1961">
      <w:pPr>
        <w:rPr>
          <w:b/>
        </w:rPr>
      </w:pPr>
      <w:r w:rsidRPr="006D20D0">
        <w:rPr>
          <w:b/>
        </w:rPr>
        <w:t>[</w:t>
      </w:r>
      <w:r w:rsidR="006D20D0" w:rsidRPr="006D20D0">
        <w:rPr>
          <w:b/>
        </w:rPr>
        <w:t>Seller</w:t>
      </w:r>
      <w:r w:rsidRPr="006D20D0">
        <w:rPr>
          <w:b/>
        </w:rPr>
        <w:t>]</w:t>
      </w:r>
    </w:p>
    <w:p w:rsidR="004B1961" w:rsidRDefault="004B1961" w:rsidP="004B1961"/>
    <w:p w:rsidR="004B1961" w:rsidRDefault="004B1961" w:rsidP="00E46446">
      <w:pPr>
        <w:outlineLvl w:val="0"/>
      </w:pPr>
      <w:r>
        <w:t xml:space="preserve">BY:  </w:t>
      </w:r>
      <w:r w:rsidR="004F646C">
        <w:t>_______________________________________</w:t>
      </w:r>
      <w:r>
        <w:t xml:space="preserve">                                                       </w:t>
      </w:r>
    </w:p>
    <w:p w:rsidR="004B1961" w:rsidRDefault="004B1961" w:rsidP="004B1961"/>
    <w:p w:rsidR="004B1961" w:rsidRDefault="004B1961" w:rsidP="004B1961"/>
    <w:p w:rsidR="004B1961" w:rsidRDefault="004B1961" w:rsidP="00E46446">
      <w:pPr>
        <w:outlineLvl w:val="0"/>
      </w:pPr>
      <w:r>
        <w:t>Its_____________________________</w:t>
      </w:r>
    </w:p>
    <w:p w:rsidR="00964AE4" w:rsidRPr="00414601" w:rsidRDefault="00964AE4"/>
    <w:p w:rsidR="007A7478" w:rsidRDefault="007A7478" w:rsidP="00E46446">
      <w:pPr>
        <w:ind w:left="720" w:right="900"/>
        <w:jc w:val="center"/>
        <w:outlineLvl w:val="0"/>
        <w:sectPr w:rsidR="007A7478" w:rsidSect="00FD2C01">
          <w:footerReference w:type="default" r:id="rId8"/>
          <w:pgSz w:w="12240" w:h="15840" w:code="1"/>
          <w:pgMar w:top="900" w:right="1800" w:bottom="1440" w:left="1800" w:header="720" w:footer="720" w:gutter="0"/>
          <w:cols w:space="720"/>
          <w:docGrid w:linePitch="360"/>
        </w:sectPr>
      </w:pPr>
    </w:p>
    <w:p w:rsidR="004F05AC" w:rsidRPr="00224323" w:rsidRDefault="003F40ED" w:rsidP="00E162D3">
      <w:pPr>
        <w:pStyle w:val="Heading1"/>
      </w:pPr>
      <w:r>
        <w:lastRenderedPageBreak/>
        <w:t>A</w:t>
      </w:r>
      <w:r w:rsidR="004F05AC" w:rsidRPr="00224323">
        <w:t xml:space="preserve">PPENDIX </w:t>
      </w:r>
      <w:r w:rsidR="004F05AC">
        <w:t>A</w:t>
      </w:r>
    </w:p>
    <w:p w:rsidR="004F05AC" w:rsidRPr="00224323" w:rsidRDefault="004F05AC" w:rsidP="00E162D3">
      <w:pPr>
        <w:pStyle w:val="Heading4"/>
      </w:pPr>
      <w:r w:rsidRPr="00224323">
        <w:t>Service Requirements Matrix</w:t>
      </w:r>
    </w:p>
    <w:p w:rsidR="004F05AC" w:rsidRDefault="004F05AC" w:rsidP="00E162D3">
      <w:pPr>
        <w:tabs>
          <w:tab w:val="left" w:pos="10800"/>
        </w:tabs>
        <w:jc w:val="center"/>
      </w:pPr>
      <w:r w:rsidRPr="00224323">
        <w:t xml:space="preserve">By </w:t>
      </w:r>
      <w:r>
        <w:t xml:space="preserve">Service Requirement, Load Asset Name and ID, </w:t>
      </w:r>
      <w:r w:rsidRPr="00224323">
        <w:t>Load Responsibility,</w:t>
      </w:r>
    </w:p>
    <w:p w:rsidR="004F05AC" w:rsidRDefault="004F05AC" w:rsidP="00E162D3">
      <w:pPr>
        <w:tabs>
          <w:tab w:val="left" w:pos="10800"/>
        </w:tabs>
        <w:jc w:val="center"/>
      </w:pPr>
      <w:r w:rsidRPr="00224323">
        <w:t>and Applicable Period</w:t>
      </w:r>
    </w:p>
    <w:p w:rsidR="004F05AC" w:rsidRDefault="004F05AC" w:rsidP="00741524">
      <w:pPr>
        <w:ind w:left="720"/>
        <w:jc w:val="center"/>
      </w:pPr>
    </w:p>
    <w:p w:rsidR="00ED5618" w:rsidRDefault="00ED5618" w:rsidP="00ED709C">
      <w:pPr>
        <w:jc w:val="center"/>
      </w:pPr>
      <w:r>
        <w:t>[List All Active Transactions]</w:t>
      </w:r>
    </w:p>
    <w:p w:rsidR="00A83F01" w:rsidRDefault="00A83F01" w:rsidP="00A83F01"/>
    <w:p w:rsidR="00304028" w:rsidRDefault="00304028" w:rsidP="00304028">
      <w:pPr>
        <w:pStyle w:val="Heading5"/>
        <w:rPr>
          <w:b/>
        </w:rPr>
      </w:pPr>
      <w:r w:rsidRPr="00B87A83">
        <w:t>For service pursuant to Buyer’s RFP issued on</w:t>
      </w:r>
      <w:r>
        <w:t xml:space="preserve"> </w:t>
      </w:r>
      <w:r w:rsidR="006679A8">
        <w:rPr>
          <w:b/>
        </w:rPr>
        <w:t>November 5</w:t>
      </w:r>
      <w:r w:rsidR="00232D4A">
        <w:rPr>
          <w:b/>
        </w:rPr>
        <w:t>, 2024</w:t>
      </w:r>
    </w:p>
    <w:p w:rsidR="00304028" w:rsidRPr="009256B5" w:rsidRDefault="00304028" w:rsidP="00304028"/>
    <w:p w:rsidR="00304028" w:rsidRDefault="00304028" w:rsidP="00ED709C"/>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3"/>
        <w:gridCol w:w="1984"/>
        <w:gridCol w:w="1983"/>
        <w:gridCol w:w="2078"/>
        <w:gridCol w:w="2250"/>
      </w:tblGrid>
      <w:tr w:rsidR="005D3B2C" w:rsidRPr="00224323" w:rsidTr="00C25405">
        <w:trPr>
          <w:trHeight w:hRule="exact" w:val="950"/>
        </w:trPr>
        <w:tc>
          <w:tcPr>
            <w:tcW w:w="1983" w:type="dxa"/>
            <w:shd w:val="clear" w:color="auto" w:fill="auto"/>
            <w:vAlign w:val="center"/>
          </w:tcPr>
          <w:p w:rsidR="005D3B2C" w:rsidRPr="00224323" w:rsidRDefault="005D3B2C" w:rsidP="00C25405">
            <w:pPr>
              <w:widowControl w:val="0"/>
              <w:autoSpaceDE w:val="0"/>
              <w:autoSpaceDN w:val="0"/>
              <w:adjustRightInd w:val="0"/>
              <w:jc w:val="center"/>
            </w:pPr>
            <w:r>
              <w:t>Service Requirement</w:t>
            </w:r>
          </w:p>
        </w:tc>
        <w:tc>
          <w:tcPr>
            <w:tcW w:w="1984" w:type="dxa"/>
            <w:shd w:val="clear" w:color="auto" w:fill="auto"/>
            <w:vAlign w:val="center"/>
          </w:tcPr>
          <w:p w:rsidR="005D3B2C" w:rsidRPr="00224323" w:rsidRDefault="005D3B2C" w:rsidP="00C25405">
            <w:pPr>
              <w:widowControl w:val="0"/>
              <w:autoSpaceDE w:val="0"/>
              <w:autoSpaceDN w:val="0"/>
              <w:adjustRightInd w:val="0"/>
              <w:jc w:val="center"/>
            </w:pPr>
            <w:r>
              <w:t>Load Asset Name and ID</w:t>
            </w:r>
          </w:p>
        </w:tc>
        <w:tc>
          <w:tcPr>
            <w:tcW w:w="1983" w:type="dxa"/>
            <w:shd w:val="clear" w:color="auto" w:fill="auto"/>
            <w:vAlign w:val="center"/>
          </w:tcPr>
          <w:p w:rsidR="005D3B2C" w:rsidRPr="00224323" w:rsidRDefault="005D3B2C" w:rsidP="00C25405">
            <w:pPr>
              <w:widowControl w:val="0"/>
              <w:autoSpaceDE w:val="0"/>
              <w:autoSpaceDN w:val="0"/>
              <w:adjustRightInd w:val="0"/>
              <w:jc w:val="center"/>
            </w:pPr>
            <w:r w:rsidRPr="00224323">
              <w:t>Load Responsibility</w:t>
            </w:r>
          </w:p>
        </w:tc>
        <w:tc>
          <w:tcPr>
            <w:tcW w:w="2078" w:type="dxa"/>
            <w:shd w:val="clear" w:color="auto" w:fill="auto"/>
            <w:vAlign w:val="center"/>
          </w:tcPr>
          <w:p w:rsidR="005D3B2C" w:rsidRPr="00224323" w:rsidRDefault="005D3B2C" w:rsidP="00C25405">
            <w:pPr>
              <w:widowControl w:val="0"/>
              <w:autoSpaceDE w:val="0"/>
              <w:autoSpaceDN w:val="0"/>
              <w:adjustRightInd w:val="0"/>
              <w:jc w:val="center"/>
            </w:pPr>
            <w:r w:rsidRPr="00224323">
              <w:t>Schedule 1</w:t>
            </w:r>
          </w:p>
        </w:tc>
        <w:tc>
          <w:tcPr>
            <w:tcW w:w="2250" w:type="dxa"/>
            <w:shd w:val="clear" w:color="auto" w:fill="auto"/>
            <w:vAlign w:val="center"/>
          </w:tcPr>
          <w:p w:rsidR="005D3B2C" w:rsidRPr="00224323" w:rsidRDefault="005D3B2C" w:rsidP="00C25405">
            <w:pPr>
              <w:widowControl w:val="0"/>
              <w:autoSpaceDE w:val="0"/>
              <w:autoSpaceDN w:val="0"/>
              <w:adjustRightInd w:val="0"/>
              <w:jc w:val="center"/>
            </w:pPr>
            <w:r w:rsidRPr="00224323">
              <w:t>Schedule 2</w:t>
            </w:r>
          </w:p>
        </w:tc>
      </w:tr>
      <w:tr w:rsidR="00232D4A" w:rsidTr="00C25405">
        <w:trPr>
          <w:trHeight w:val="1025"/>
        </w:trPr>
        <w:tc>
          <w:tcPr>
            <w:tcW w:w="1983" w:type="dxa"/>
            <w:shd w:val="clear" w:color="auto" w:fill="auto"/>
            <w:vAlign w:val="center"/>
          </w:tcPr>
          <w:p w:rsidR="00232D4A" w:rsidRDefault="00232D4A" w:rsidP="00232D4A">
            <w:pPr>
              <w:widowControl w:val="0"/>
              <w:autoSpaceDE w:val="0"/>
              <w:autoSpaceDN w:val="0"/>
              <w:adjustRightInd w:val="0"/>
              <w:jc w:val="center"/>
            </w:pPr>
            <w:r>
              <w:t>UES Small Default Load</w:t>
            </w:r>
          </w:p>
        </w:tc>
        <w:tc>
          <w:tcPr>
            <w:tcW w:w="1984" w:type="dxa"/>
            <w:shd w:val="clear" w:color="auto" w:fill="auto"/>
            <w:vAlign w:val="center"/>
          </w:tcPr>
          <w:p w:rsidR="00232D4A" w:rsidRDefault="00232D4A" w:rsidP="00232D4A">
            <w:pPr>
              <w:widowControl w:val="0"/>
              <w:autoSpaceDE w:val="0"/>
              <w:autoSpaceDN w:val="0"/>
              <w:adjustRightInd w:val="0"/>
              <w:jc w:val="center"/>
            </w:pPr>
            <w:r>
              <w:t>Small     Customer Group, 11451</w:t>
            </w:r>
          </w:p>
        </w:tc>
        <w:tc>
          <w:tcPr>
            <w:tcW w:w="1983" w:type="dxa"/>
            <w:shd w:val="clear" w:color="auto" w:fill="auto"/>
            <w:vAlign w:val="center"/>
          </w:tcPr>
          <w:p w:rsidR="00232D4A" w:rsidRDefault="006679A8" w:rsidP="00232D4A">
            <w:pPr>
              <w:widowControl w:val="0"/>
              <w:autoSpaceDE w:val="0"/>
              <w:autoSpaceDN w:val="0"/>
              <w:adjustRightInd w:val="0"/>
              <w:jc w:val="center"/>
            </w:pPr>
            <w:r>
              <w:t>7</w:t>
            </w:r>
            <w:r w:rsidR="00232D4A">
              <w:t>0%</w:t>
            </w:r>
          </w:p>
        </w:tc>
        <w:tc>
          <w:tcPr>
            <w:tcW w:w="2078" w:type="dxa"/>
            <w:shd w:val="clear" w:color="auto" w:fill="auto"/>
            <w:vAlign w:val="center"/>
          </w:tcPr>
          <w:p w:rsidR="00232D4A" w:rsidRDefault="006679A8" w:rsidP="00232D4A">
            <w:pPr>
              <w:widowControl w:val="0"/>
              <w:autoSpaceDE w:val="0"/>
              <w:autoSpaceDN w:val="0"/>
              <w:adjustRightInd w:val="0"/>
              <w:jc w:val="center"/>
            </w:pPr>
            <w:r>
              <w:t>February 1, 2024</w:t>
            </w:r>
          </w:p>
        </w:tc>
        <w:tc>
          <w:tcPr>
            <w:tcW w:w="2250" w:type="dxa"/>
            <w:shd w:val="clear" w:color="auto" w:fill="auto"/>
            <w:vAlign w:val="center"/>
          </w:tcPr>
          <w:p w:rsidR="00232D4A" w:rsidRDefault="006679A8" w:rsidP="00232D4A">
            <w:pPr>
              <w:widowControl w:val="0"/>
              <w:autoSpaceDE w:val="0"/>
              <w:autoSpaceDN w:val="0"/>
              <w:adjustRightInd w:val="0"/>
              <w:jc w:val="center"/>
            </w:pPr>
            <w:r>
              <w:t>July 31, 2025</w:t>
            </w:r>
          </w:p>
        </w:tc>
      </w:tr>
      <w:tr w:rsidR="006679A8" w:rsidTr="00C25405">
        <w:trPr>
          <w:trHeight w:val="1160"/>
        </w:trPr>
        <w:tc>
          <w:tcPr>
            <w:tcW w:w="1983" w:type="dxa"/>
            <w:shd w:val="clear" w:color="auto" w:fill="auto"/>
            <w:vAlign w:val="center"/>
          </w:tcPr>
          <w:p w:rsidR="006679A8" w:rsidRDefault="006679A8" w:rsidP="006679A8">
            <w:pPr>
              <w:widowControl w:val="0"/>
              <w:autoSpaceDE w:val="0"/>
              <w:autoSpaceDN w:val="0"/>
              <w:adjustRightInd w:val="0"/>
              <w:jc w:val="center"/>
            </w:pPr>
            <w:r>
              <w:t>UES Medium Default Load</w:t>
            </w:r>
          </w:p>
        </w:tc>
        <w:tc>
          <w:tcPr>
            <w:tcW w:w="1984" w:type="dxa"/>
            <w:shd w:val="clear" w:color="auto" w:fill="auto"/>
            <w:vAlign w:val="center"/>
          </w:tcPr>
          <w:p w:rsidR="006679A8" w:rsidRDefault="006679A8" w:rsidP="006679A8">
            <w:pPr>
              <w:widowControl w:val="0"/>
              <w:autoSpaceDE w:val="0"/>
              <w:autoSpaceDN w:val="0"/>
              <w:adjustRightInd w:val="0"/>
              <w:jc w:val="center"/>
            </w:pPr>
            <w:r>
              <w:t>Medium Customer Group, 11452</w:t>
            </w:r>
          </w:p>
        </w:tc>
        <w:tc>
          <w:tcPr>
            <w:tcW w:w="1983" w:type="dxa"/>
            <w:shd w:val="clear" w:color="auto" w:fill="auto"/>
            <w:vAlign w:val="center"/>
          </w:tcPr>
          <w:p w:rsidR="006679A8" w:rsidRDefault="006679A8" w:rsidP="006679A8">
            <w:pPr>
              <w:widowControl w:val="0"/>
              <w:autoSpaceDE w:val="0"/>
              <w:autoSpaceDN w:val="0"/>
              <w:adjustRightInd w:val="0"/>
              <w:jc w:val="center"/>
            </w:pPr>
            <w:r>
              <w:t>70%</w:t>
            </w:r>
          </w:p>
        </w:tc>
        <w:tc>
          <w:tcPr>
            <w:tcW w:w="2078" w:type="dxa"/>
            <w:shd w:val="clear" w:color="auto" w:fill="auto"/>
            <w:vAlign w:val="center"/>
          </w:tcPr>
          <w:p w:rsidR="006679A8" w:rsidRDefault="006679A8" w:rsidP="006679A8">
            <w:pPr>
              <w:widowControl w:val="0"/>
              <w:autoSpaceDE w:val="0"/>
              <w:autoSpaceDN w:val="0"/>
              <w:adjustRightInd w:val="0"/>
              <w:jc w:val="center"/>
            </w:pPr>
            <w:r>
              <w:t>February 1, 2024</w:t>
            </w:r>
          </w:p>
        </w:tc>
        <w:tc>
          <w:tcPr>
            <w:tcW w:w="2250" w:type="dxa"/>
            <w:shd w:val="clear" w:color="auto" w:fill="auto"/>
            <w:vAlign w:val="center"/>
          </w:tcPr>
          <w:p w:rsidR="006679A8" w:rsidRDefault="006679A8" w:rsidP="006679A8">
            <w:pPr>
              <w:widowControl w:val="0"/>
              <w:autoSpaceDE w:val="0"/>
              <w:autoSpaceDN w:val="0"/>
              <w:adjustRightInd w:val="0"/>
              <w:jc w:val="center"/>
            </w:pPr>
            <w:r>
              <w:t>July 31, 2025</w:t>
            </w:r>
          </w:p>
        </w:tc>
      </w:tr>
      <w:tr w:rsidR="006679A8" w:rsidTr="00C25405">
        <w:trPr>
          <w:trHeight w:hRule="exact" w:val="1054"/>
        </w:trPr>
        <w:tc>
          <w:tcPr>
            <w:tcW w:w="1983" w:type="dxa"/>
            <w:shd w:val="clear" w:color="auto" w:fill="auto"/>
            <w:vAlign w:val="center"/>
          </w:tcPr>
          <w:p w:rsidR="006679A8" w:rsidRPr="00022D09" w:rsidRDefault="006679A8" w:rsidP="006679A8">
            <w:pPr>
              <w:widowControl w:val="0"/>
              <w:autoSpaceDE w:val="0"/>
              <w:autoSpaceDN w:val="0"/>
              <w:adjustRightInd w:val="0"/>
              <w:jc w:val="center"/>
            </w:pPr>
            <w:r w:rsidRPr="00022D09">
              <w:t xml:space="preserve">UES </w:t>
            </w:r>
            <w:r>
              <w:t>Large</w:t>
            </w:r>
            <w:r w:rsidRPr="00022D09">
              <w:t xml:space="preserve"> Customer Group</w:t>
            </w:r>
          </w:p>
        </w:tc>
        <w:tc>
          <w:tcPr>
            <w:tcW w:w="1984" w:type="dxa"/>
            <w:shd w:val="clear" w:color="auto" w:fill="auto"/>
            <w:vAlign w:val="center"/>
          </w:tcPr>
          <w:p w:rsidR="006679A8" w:rsidRDefault="006679A8" w:rsidP="006679A8">
            <w:pPr>
              <w:widowControl w:val="0"/>
              <w:autoSpaceDE w:val="0"/>
              <w:autoSpaceDN w:val="0"/>
              <w:adjustRightInd w:val="0"/>
              <w:jc w:val="center"/>
            </w:pPr>
            <w:r>
              <w:t>UES Large Default Load, 10019</w:t>
            </w:r>
          </w:p>
        </w:tc>
        <w:tc>
          <w:tcPr>
            <w:tcW w:w="1983" w:type="dxa"/>
            <w:shd w:val="clear" w:color="auto" w:fill="auto"/>
            <w:vAlign w:val="center"/>
          </w:tcPr>
          <w:p w:rsidR="006679A8" w:rsidRDefault="006679A8" w:rsidP="006679A8">
            <w:pPr>
              <w:widowControl w:val="0"/>
              <w:autoSpaceDE w:val="0"/>
              <w:autoSpaceDN w:val="0"/>
              <w:adjustRightInd w:val="0"/>
              <w:jc w:val="center"/>
            </w:pPr>
            <w:r>
              <w:t>100</w:t>
            </w:r>
            <w:r w:rsidRPr="00224323">
              <w:t>%</w:t>
            </w:r>
          </w:p>
        </w:tc>
        <w:tc>
          <w:tcPr>
            <w:tcW w:w="2078" w:type="dxa"/>
            <w:shd w:val="clear" w:color="auto" w:fill="auto"/>
            <w:vAlign w:val="center"/>
          </w:tcPr>
          <w:p w:rsidR="006679A8" w:rsidRDefault="006679A8" w:rsidP="006679A8">
            <w:pPr>
              <w:widowControl w:val="0"/>
              <w:autoSpaceDE w:val="0"/>
              <w:autoSpaceDN w:val="0"/>
              <w:adjustRightInd w:val="0"/>
              <w:jc w:val="center"/>
            </w:pPr>
            <w:r>
              <w:t>February 1, 2024</w:t>
            </w:r>
          </w:p>
        </w:tc>
        <w:tc>
          <w:tcPr>
            <w:tcW w:w="2250" w:type="dxa"/>
            <w:shd w:val="clear" w:color="auto" w:fill="auto"/>
            <w:vAlign w:val="center"/>
          </w:tcPr>
          <w:p w:rsidR="006679A8" w:rsidRDefault="006679A8" w:rsidP="006679A8">
            <w:pPr>
              <w:widowControl w:val="0"/>
              <w:autoSpaceDE w:val="0"/>
              <w:autoSpaceDN w:val="0"/>
              <w:adjustRightInd w:val="0"/>
              <w:jc w:val="center"/>
            </w:pPr>
            <w:r>
              <w:t>July 31, 2025</w:t>
            </w:r>
          </w:p>
        </w:tc>
      </w:tr>
    </w:tbl>
    <w:p w:rsidR="00304028" w:rsidRDefault="00304028" w:rsidP="00E46446">
      <w:pPr>
        <w:jc w:val="center"/>
        <w:outlineLvl w:val="0"/>
      </w:pPr>
    </w:p>
    <w:p w:rsidR="00304028" w:rsidRDefault="00304028" w:rsidP="00E46446">
      <w:pPr>
        <w:jc w:val="center"/>
        <w:outlineLvl w:val="0"/>
      </w:pPr>
    </w:p>
    <w:p w:rsidR="00304028" w:rsidRDefault="00304028" w:rsidP="00E46446">
      <w:pPr>
        <w:jc w:val="center"/>
        <w:outlineLvl w:val="0"/>
      </w:pPr>
    </w:p>
    <w:p w:rsidR="00304028" w:rsidRDefault="00304028" w:rsidP="00E46446">
      <w:pPr>
        <w:jc w:val="center"/>
        <w:outlineLvl w:val="0"/>
      </w:pPr>
    </w:p>
    <w:p w:rsidR="00304028" w:rsidRDefault="00304028" w:rsidP="00E46446">
      <w:pPr>
        <w:jc w:val="center"/>
        <w:outlineLvl w:val="0"/>
      </w:pPr>
    </w:p>
    <w:p w:rsidR="00304028" w:rsidRDefault="00304028" w:rsidP="00E46446">
      <w:pPr>
        <w:jc w:val="center"/>
        <w:outlineLvl w:val="0"/>
      </w:pPr>
    </w:p>
    <w:p w:rsidR="00ED709C" w:rsidRDefault="00ED709C" w:rsidP="00E46446">
      <w:pPr>
        <w:jc w:val="center"/>
        <w:outlineLvl w:val="0"/>
      </w:pPr>
    </w:p>
    <w:p w:rsidR="00304028" w:rsidRDefault="00304028" w:rsidP="00E46446">
      <w:pPr>
        <w:jc w:val="center"/>
        <w:outlineLvl w:val="0"/>
      </w:pPr>
    </w:p>
    <w:p w:rsidR="00304028" w:rsidRDefault="00304028" w:rsidP="00E46446">
      <w:pPr>
        <w:jc w:val="center"/>
        <w:outlineLvl w:val="0"/>
      </w:pPr>
    </w:p>
    <w:p w:rsidR="001D4B7E" w:rsidRDefault="000A5D8E" w:rsidP="00E46446">
      <w:pPr>
        <w:jc w:val="center"/>
        <w:outlineLvl w:val="0"/>
      </w:pPr>
      <w:r>
        <w:br w:type="page"/>
      </w:r>
    </w:p>
    <w:p w:rsidR="004F05AC" w:rsidRDefault="004F05AC" w:rsidP="00871ADA">
      <w:pPr>
        <w:pStyle w:val="Heading1"/>
        <w:spacing w:before="0" w:after="0"/>
      </w:pPr>
      <w:r>
        <w:lastRenderedPageBreak/>
        <w:t>APPENDIX B</w:t>
      </w:r>
    </w:p>
    <w:p w:rsidR="004F05AC" w:rsidRDefault="009E7380" w:rsidP="00871ADA">
      <w:pPr>
        <w:pStyle w:val="Heading4"/>
        <w:spacing w:before="0" w:after="0"/>
      </w:pPr>
      <w:r>
        <w:t xml:space="preserve">     </w:t>
      </w:r>
      <w:r w:rsidR="004F05AC">
        <w:t>Monthly Contract Rate by Service Requirement</w:t>
      </w:r>
      <w:r w:rsidR="009E3793">
        <w:tab/>
      </w:r>
    </w:p>
    <w:p w:rsidR="004F05AC" w:rsidRDefault="004F05AC" w:rsidP="00871ADA">
      <w:pPr>
        <w:spacing w:before="0" w:after="0"/>
        <w:jc w:val="center"/>
      </w:pPr>
      <w:r>
        <w:t>Dollars per MWh</w:t>
      </w:r>
    </w:p>
    <w:p w:rsidR="004F646C" w:rsidRDefault="004F646C" w:rsidP="00871ADA">
      <w:pPr>
        <w:spacing w:before="0" w:after="0"/>
        <w:jc w:val="center"/>
      </w:pPr>
    </w:p>
    <w:p w:rsidR="00A50006" w:rsidRDefault="00A50006" w:rsidP="00304028">
      <w:pPr>
        <w:spacing w:before="0" w:after="0"/>
      </w:pPr>
    </w:p>
    <w:p w:rsidR="00304028" w:rsidRDefault="00304028" w:rsidP="00304028">
      <w:pPr>
        <w:pStyle w:val="Heading5"/>
        <w:rPr>
          <w:b/>
        </w:rPr>
      </w:pPr>
      <w:r w:rsidRPr="005C2964">
        <w:t xml:space="preserve">For service pursuant to Buyer’s RFP issued </w:t>
      </w:r>
      <w:r w:rsidRPr="00F10DC1">
        <w:t xml:space="preserve">on </w:t>
      </w:r>
      <w:r w:rsidR="006679A8">
        <w:rPr>
          <w:b/>
        </w:rPr>
        <w:t>November 5, 2024</w:t>
      </w:r>
    </w:p>
    <w:p w:rsidR="00304028" w:rsidRDefault="00304028" w:rsidP="00304028"/>
    <w:p w:rsidR="00304028" w:rsidRDefault="00304028" w:rsidP="00304028">
      <w:pPr>
        <w:jc w:val="center"/>
      </w:pPr>
      <w:r>
        <w:t>[List All Active Transactions]</w:t>
      </w:r>
    </w:p>
    <w:p w:rsidR="00304028" w:rsidRPr="00304028" w:rsidRDefault="00304028" w:rsidP="0030402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4"/>
        <w:gridCol w:w="1221"/>
        <w:gridCol w:w="1111"/>
        <w:gridCol w:w="1111"/>
        <w:gridCol w:w="1111"/>
        <w:gridCol w:w="1113"/>
        <w:gridCol w:w="1109"/>
      </w:tblGrid>
      <w:tr w:rsidR="00232D4A" w:rsidRPr="00E44C74" w:rsidTr="00A855AD">
        <w:trPr>
          <w:trHeight w:val="540"/>
        </w:trPr>
        <w:tc>
          <w:tcPr>
            <w:tcW w:w="1376" w:type="pct"/>
            <w:shd w:val="clear" w:color="auto" w:fill="FFFFFF"/>
            <w:vAlign w:val="center"/>
          </w:tcPr>
          <w:p w:rsidR="00232D4A" w:rsidRPr="00E44C74" w:rsidRDefault="00232D4A" w:rsidP="00232D4A">
            <w:pPr>
              <w:jc w:val="center"/>
            </w:pPr>
            <w:r>
              <w:t>Service Require</w:t>
            </w:r>
            <w:smartTag w:uri="urn:schemas-microsoft-com:office:smarttags" w:element="PersonName">
              <w:r>
                <w:t>m</w:t>
              </w:r>
            </w:smartTag>
            <w:r>
              <w:t>ent</w:t>
            </w:r>
          </w:p>
        </w:tc>
        <w:tc>
          <w:tcPr>
            <w:tcW w:w="653" w:type="pct"/>
            <w:shd w:val="clear" w:color="auto" w:fill="auto"/>
            <w:vAlign w:val="center"/>
          </w:tcPr>
          <w:p w:rsidR="00232D4A" w:rsidRPr="00E44C74" w:rsidRDefault="006679A8" w:rsidP="00232D4A">
            <w:pPr>
              <w:jc w:val="center"/>
            </w:pPr>
            <w:r>
              <w:t>Feb-25</w:t>
            </w:r>
          </w:p>
        </w:tc>
        <w:tc>
          <w:tcPr>
            <w:tcW w:w="594" w:type="pct"/>
            <w:shd w:val="clear" w:color="auto" w:fill="auto"/>
            <w:vAlign w:val="center"/>
          </w:tcPr>
          <w:p w:rsidR="00232D4A" w:rsidRPr="00E44C74" w:rsidRDefault="006679A8" w:rsidP="00232D4A">
            <w:pPr>
              <w:jc w:val="center"/>
            </w:pPr>
            <w:r>
              <w:t>Mar-25</w:t>
            </w:r>
          </w:p>
        </w:tc>
        <w:tc>
          <w:tcPr>
            <w:tcW w:w="594" w:type="pct"/>
            <w:shd w:val="clear" w:color="auto" w:fill="auto"/>
            <w:vAlign w:val="center"/>
          </w:tcPr>
          <w:p w:rsidR="00232D4A" w:rsidRPr="00E44C74" w:rsidRDefault="006679A8" w:rsidP="00232D4A">
            <w:pPr>
              <w:jc w:val="center"/>
            </w:pPr>
            <w:r>
              <w:t>Apr-25</w:t>
            </w:r>
          </w:p>
        </w:tc>
        <w:tc>
          <w:tcPr>
            <w:tcW w:w="594" w:type="pct"/>
            <w:shd w:val="clear" w:color="auto" w:fill="auto"/>
            <w:vAlign w:val="center"/>
          </w:tcPr>
          <w:p w:rsidR="00232D4A" w:rsidRPr="00E44C74" w:rsidRDefault="006679A8" w:rsidP="00232D4A">
            <w:pPr>
              <w:jc w:val="center"/>
            </w:pPr>
            <w:r>
              <w:t>May-25</w:t>
            </w:r>
          </w:p>
        </w:tc>
        <w:tc>
          <w:tcPr>
            <w:tcW w:w="595" w:type="pct"/>
            <w:shd w:val="clear" w:color="auto" w:fill="auto"/>
            <w:vAlign w:val="center"/>
          </w:tcPr>
          <w:p w:rsidR="00232D4A" w:rsidRPr="00E44C74" w:rsidRDefault="006679A8" w:rsidP="00232D4A">
            <w:pPr>
              <w:jc w:val="center"/>
            </w:pPr>
            <w:r>
              <w:t>Jun-25</w:t>
            </w:r>
          </w:p>
        </w:tc>
        <w:tc>
          <w:tcPr>
            <w:tcW w:w="593" w:type="pct"/>
            <w:vAlign w:val="center"/>
          </w:tcPr>
          <w:p w:rsidR="00232D4A" w:rsidRPr="00E44C74" w:rsidRDefault="006679A8" w:rsidP="002607C6">
            <w:pPr>
              <w:spacing w:before="0" w:after="0"/>
              <w:jc w:val="center"/>
            </w:pPr>
            <w:r>
              <w:t>Jul-25</w:t>
            </w:r>
          </w:p>
        </w:tc>
      </w:tr>
      <w:tr w:rsidR="00257D80" w:rsidRPr="00E44C74" w:rsidTr="00A855AD">
        <w:trPr>
          <w:trHeight w:val="540"/>
        </w:trPr>
        <w:tc>
          <w:tcPr>
            <w:tcW w:w="1376" w:type="pct"/>
            <w:shd w:val="clear" w:color="auto" w:fill="auto"/>
            <w:vAlign w:val="center"/>
          </w:tcPr>
          <w:p w:rsidR="00257D80" w:rsidRPr="00E44C74" w:rsidRDefault="006679A8" w:rsidP="00A855AD">
            <w:pPr>
              <w:jc w:val="center"/>
            </w:pPr>
            <w:r>
              <w:t>7</w:t>
            </w:r>
            <w:r w:rsidR="00232D4A">
              <w:t>0</w:t>
            </w:r>
            <w:r w:rsidR="00257D80">
              <w:t>% UES                 Small Customer Group</w:t>
            </w:r>
            <w:proofErr w:type="gramStart"/>
            <w:r w:rsidR="00257D80">
              <w:t xml:space="preserve">   (</w:t>
            </w:r>
            <w:proofErr w:type="gramEnd"/>
            <w:r w:rsidR="00257D80">
              <w:t>6 months)</w:t>
            </w:r>
          </w:p>
        </w:tc>
        <w:tc>
          <w:tcPr>
            <w:tcW w:w="653" w:type="pct"/>
            <w:shd w:val="clear" w:color="auto" w:fill="auto"/>
            <w:vAlign w:val="center"/>
          </w:tcPr>
          <w:p w:rsidR="00257D80" w:rsidRPr="00E44C74" w:rsidRDefault="00257D80" w:rsidP="00A855AD">
            <w:pPr>
              <w:jc w:val="center"/>
            </w:pPr>
          </w:p>
        </w:tc>
        <w:tc>
          <w:tcPr>
            <w:tcW w:w="594" w:type="pct"/>
            <w:shd w:val="clear" w:color="auto" w:fill="auto"/>
            <w:vAlign w:val="center"/>
          </w:tcPr>
          <w:p w:rsidR="00257D80" w:rsidRPr="00E44C74" w:rsidRDefault="00257D80" w:rsidP="00A855AD">
            <w:pPr>
              <w:jc w:val="center"/>
            </w:pPr>
          </w:p>
        </w:tc>
        <w:tc>
          <w:tcPr>
            <w:tcW w:w="594" w:type="pct"/>
            <w:shd w:val="clear" w:color="auto" w:fill="auto"/>
            <w:vAlign w:val="center"/>
          </w:tcPr>
          <w:p w:rsidR="00257D80" w:rsidRPr="00E44C74" w:rsidRDefault="00257D80" w:rsidP="00A855AD">
            <w:pPr>
              <w:jc w:val="center"/>
            </w:pPr>
          </w:p>
        </w:tc>
        <w:tc>
          <w:tcPr>
            <w:tcW w:w="594" w:type="pct"/>
            <w:shd w:val="clear" w:color="auto" w:fill="auto"/>
            <w:vAlign w:val="center"/>
          </w:tcPr>
          <w:p w:rsidR="00257D80" w:rsidRPr="00E44C74" w:rsidRDefault="00257D80" w:rsidP="00A855AD">
            <w:pPr>
              <w:jc w:val="center"/>
            </w:pPr>
          </w:p>
        </w:tc>
        <w:tc>
          <w:tcPr>
            <w:tcW w:w="595" w:type="pct"/>
            <w:shd w:val="clear" w:color="auto" w:fill="auto"/>
            <w:vAlign w:val="center"/>
          </w:tcPr>
          <w:p w:rsidR="00257D80" w:rsidRPr="00E44C74" w:rsidRDefault="00257D80" w:rsidP="00A855AD">
            <w:pPr>
              <w:jc w:val="center"/>
            </w:pPr>
          </w:p>
        </w:tc>
        <w:tc>
          <w:tcPr>
            <w:tcW w:w="593" w:type="pct"/>
            <w:vAlign w:val="center"/>
          </w:tcPr>
          <w:p w:rsidR="00257D80" w:rsidRPr="00E44C74" w:rsidRDefault="00257D80" w:rsidP="00A855AD">
            <w:pPr>
              <w:spacing w:before="0" w:after="0"/>
              <w:jc w:val="left"/>
            </w:pPr>
          </w:p>
        </w:tc>
      </w:tr>
    </w:tbl>
    <w:p w:rsidR="00257D80" w:rsidRDefault="00257D80" w:rsidP="00257D8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4"/>
        <w:gridCol w:w="1221"/>
        <w:gridCol w:w="1111"/>
        <w:gridCol w:w="1111"/>
        <w:gridCol w:w="1111"/>
        <w:gridCol w:w="1113"/>
        <w:gridCol w:w="1109"/>
      </w:tblGrid>
      <w:tr w:rsidR="006679A8" w:rsidRPr="00E44C74" w:rsidTr="00A855AD">
        <w:trPr>
          <w:trHeight w:val="540"/>
        </w:trPr>
        <w:tc>
          <w:tcPr>
            <w:tcW w:w="1376" w:type="pct"/>
            <w:shd w:val="clear" w:color="auto" w:fill="FFFFFF"/>
            <w:vAlign w:val="center"/>
          </w:tcPr>
          <w:p w:rsidR="006679A8" w:rsidRPr="00E44C74" w:rsidRDefault="006679A8" w:rsidP="006679A8">
            <w:pPr>
              <w:jc w:val="center"/>
            </w:pPr>
            <w:r>
              <w:t>Service Require</w:t>
            </w:r>
            <w:smartTag w:uri="urn:schemas-microsoft-com:office:smarttags" w:element="PersonName">
              <w:r>
                <w:t>m</w:t>
              </w:r>
            </w:smartTag>
            <w:r>
              <w:t>ent</w:t>
            </w:r>
          </w:p>
        </w:tc>
        <w:tc>
          <w:tcPr>
            <w:tcW w:w="653" w:type="pct"/>
            <w:shd w:val="clear" w:color="auto" w:fill="auto"/>
            <w:vAlign w:val="center"/>
          </w:tcPr>
          <w:p w:rsidR="006679A8" w:rsidRPr="00E44C74" w:rsidRDefault="006679A8" w:rsidP="006679A8">
            <w:pPr>
              <w:jc w:val="center"/>
            </w:pPr>
            <w:r>
              <w:t>Feb-25</w:t>
            </w:r>
          </w:p>
        </w:tc>
        <w:tc>
          <w:tcPr>
            <w:tcW w:w="594" w:type="pct"/>
            <w:shd w:val="clear" w:color="auto" w:fill="auto"/>
            <w:vAlign w:val="center"/>
          </w:tcPr>
          <w:p w:rsidR="006679A8" w:rsidRPr="00E44C74" w:rsidRDefault="006679A8" w:rsidP="006679A8">
            <w:pPr>
              <w:jc w:val="center"/>
            </w:pPr>
            <w:r>
              <w:t>Mar-25</w:t>
            </w:r>
          </w:p>
        </w:tc>
        <w:tc>
          <w:tcPr>
            <w:tcW w:w="594" w:type="pct"/>
            <w:shd w:val="clear" w:color="auto" w:fill="auto"/>
            <w:vAlign w:val="center"/>
          </w:tcPr>
          <w:p w:rsidR="006679A8" w:rsidRPr="00E44C74" w:rsidRDefault="006679A8" w:rsidP="006679A8">
            <w:pPr>
              <w:jc w:val="center"/>
            </w:pPr>
            <w:r>
              <w:t>Apr-25</w:t>
            </w:r>
          </w:p>
        </w:tc>
        <w:tc>
          <w:tcPr>
            <w:tcW w:w="594" w:type="pct"/>
            <w:shd w:val="clear" w:color="auto" w:fill="auto"/>
            <w:vAlign w:val="center"/>
          </w:tcPr>
          <w:p w:rsidR="006679A8" w:rsidRPr="00E44C74" w:rsidRDefault="006679A8" w:rsidP="006679A8">
            <w:pPr>
              <w:jc w:val="center"/>
            </w:pPr>
            <w:r>
              <w:t>May-25</w:t>
            </w:r>
          </w:p>
        </w:tc>
        <w:tc>
          <w:tcPr>
            <w:tcW w:w="595" w:type="pct"/>
            <w:shd w:val="clear" w:color="auto" w:fill="auto"/>
            <w:vAlign w:val="center"/>
          </w:tcPr>
          <w:p w:rsidR="006679A8" w:rsidRPr="00E44C74" w:rsidRDefault="006679A8" w:rsidP="006679A8">
            <w:pPr>
              <w:jc w:val="center"/>
            </w:pPr>
            <w:r>
              <w:t>Jun-25</w:t>
            </w:r>
          </w:p>
        </w:tc>
        <w:tc>
          <w:tcPr>
            <w:tcW w:w="593" w:type="pct"/>
            <w:vAlign w:val="center"/>
          </w:tcPr>
          <w:p w:rsidR="006679A8" w:rsidRPr="00E44C74" w:rsidRDefault="006679A8" w:rsidP="002607C6">
            <w:pPr>
              <w:spacing w:before="0" w:after="0"/>
              <w:jc w:val="center"/>
            </w:pPr>
            <w:r>
              <w:t>Jul-25</w:t>
            </w:r>
          </w:p>
        </w:tc>
      </w:tr>
      <w:tr w:rsidR="00257D80" w:rsidRPr="00E44C74" w:rsidTr="00A855AD">
        <w:trPr>
          <w:trHeight w:val="540"/>
        </w:trPr>
        <w:tc>
          <w:tcPr>
            <w:tcW w:w="1376" w:type="pct"/>
            <w:shd w:val="clear" w:color="auto" w:fill="auto"/>
            <w:vAlign w:val="center"/>
          </w:tcPr>
          <w:p w:rsidR="00257D80" w:rsidRPr="00E44C74" w:rsidRDefault="006679A8" w:rsidP="00A855AD">
            <w:pPr>
              <w:jc w:val="center"/>
            </w:pPr>
            <w:r>
              <w:t>7</w:t>
            </w:r>
            <w:r w:rsidR="00232D4A">
              <w:t>0</w:t>
            </w:r>
            <w:r w:rsidR="00257D80">
              <w:t>% UES            Medium Customer Group (6 months)</w:t>
            </w:r>
          </w:p>
        </w:tc>
        <w:tc>
          <w:tcPr>
            <w:tcW w:w="653" w:type="pct"/>
            <w:shd w:val="clear" w:color="auto" w:fill="auto"/>
            <w:vAlign w:val="center"/>
          </w:tcPr>
          <w:p w:rsidR="00257D80" w:rsidRPr="00E44C74" w:rsidRDefault="00257D80" w:rsidP="00A855AD">
            <w:pPr>
              <w:jc w:val="center"/>
            </w:pPr>
          </w:p>
        </w:tc>
        <w:tc>
          <w:tcPr>
            <w:tcW w:w="594" w:type="pct"/>
            <w:shd w:val="clear" w:color="auto" w:fill="auto"/>
            <w:vAlign w:val="center"/>
          </w:tcPr>
          <w:p w:rsidR="00257D80" w:rsidRPr="00E44C74" w:rsidRDefault="00257D80" w:rsidP="00A855AD">
            <w:pPr>
              <w:jc w:val="center"/>
            </w:pPr>
          </w:p>
        </w:tc>
        <w:tc>
          <w:tcPr>
            <w:tcW w:w="594" w:type="pct"/>
            <w:shd w:val="clear" w:color="auto" w:fill="auto"/>
            <w:vAlign w:val="center"/>
          </w:tcPr>
          <w:p w:rsidR="00257D80" w:rsidRPr="00E44C74" w:rsidRDefault="00257D80" w:rsidP="00A855AD">
            <w:pPr>
              <w:jc w:val="center"/>
            </w:pPr>
          </w:p>
        </w:tc>
        <w:tc>
          <w:tcPr>
            <w:tcW w:w="594" w:type="pct"/>
            <w:shd w:val="clear" w:color="auto" w:fill="auto"/>
            <w:vAlign w:val="center"/>
          </w:tcPr>
          <w:p w:rsidR="00257D80" w:rsidRPr="00E44C74" w:rsidRDefault="00257D80" w:rsidP="00A855AD">
            <w:pPr>
              <w:jc w:val="center"/>
            </w:pPr>
          </w:p>
        </w:tc>
        <w:tc>
          <w:tcPr>
            <w:tcW w:w="595" w:type="pct"/>
            <w:shd w:val="clear" w:color="auto" w:fill="auto"/>
            <w:vAlign w:val="center"/>
          </w:tcPr>
          <w:p w:rsidR="00257D80" w:rsidRPr="00E44C74" w:rsidRDefault="00257D80" w:rsidP="00A855AD">
            <w:pPr>
              <w:jc w:val="center"/>
            </w:pPr>
          </w:p>
        </w:tc>
        <w:tc>
          <w:tcPr>
            <w:tcW w:w="593" w:type="pct"/>
            <w:vAlign w:val="center"/>
          </w:tcPr>
          <w:p w:rsidR="00257D80" w:rsidRPr="00E44C74" w:rsidRDefault="00257D80" w:rsidP="00A855AD">
            <w:pPr>
              <w:spacing w:before="0" w:after="0"/>
              <w:jc w:val="left"/>
            </w:pPr>
          </w:p>
        </w:tc>
      </w:tr>
    </w:tbl>
    <w:p w:rsidR="00257D80" w:rsidRPr="00F10DC1" w:rsidRDefault="00257D80" w:rsidP="00257D80">
      <w:bookmarkStart w:id="0" w:name="_GoBack"/>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571"/>
        <w:gridCol w:w="1228"/>
        <w:gridCol w:w="1142"/>
        <w:gridCol w:w="1053"/>
        <w:gridCol w:w="1144"/>
        <w:gridCol w:w="1140"/>
        <w:gridCol w:w="1055"/>
      </w:tblGrid>
      <w:tr w:rsidR="00257D80" w:rsidRPr="00224323" w:rsidTr="00A855AD">
        <w:trPr>
          <w:trHeight w:val="855"/>
        </w:trPr>
        <w:tc>
          <w:tcPr>
            <w:tcW w:w="5000" w:type="pct"/>
            <w:gridSpan w:val="7"/>
            <w:shd w:val="clear" w:color="auto" w:fill="FFFFFF"/>
            <w:vAlign w:val="center"/>
          </w:tcPr>
          <w:bookmarkEnd w:id="0"/>
          <w:p w:rsidR="00257D80" w:rsidRPr="001033A0" w:rsidRDefault="00257D80" w:rsidP="00A855AD">
            <w:pPr>
              <w:ind w:left="720"/>
              <w:jc w:val="center"/>
              <w:rPr>
                <w:i/>
              </w:rPr>
            </w:pPr>
            <w:r w:rsidRPr="001033A0">
              <w:rPr>
                <w:i/>
              </w:rPr>
              <w:t>The following are Fixed Monthly Adders.</w:t>
            </w:r>
          </w:p>
          <w:p w:rsidR="00257D80" w:rsidRDefault="00257D80" w:rsidP="00A855AD">
            <w:pPr>
              <w:jc w:val="center"/>
            </w:pPr>
            <w:r w:rsidRPr="001033A0">
              <w:rPr>
                <w:i/>
              </w:rPr>
              <w:t>Please refer to Section 5.1 for calculation of Contract Rate</w:t>
            </w:r>
          </w:p>
        </w:tc>
      </w:tr>
      <w:tr w:rsidR="006679A8" w:rsidRPr="00224323" w:rsidTr="00A855AD">
        <w:trPr>
          <w:trHeight w:val="855"/>
        </w:trPr>
        <w:tc>
          <w:tcPr>
            <w:tcW w:w="1377" w:type="pct"/>
            <w:shd w:val="clear" w:color="auto" w:fill="FFFFFF"/>
            <w:vAlign w:val="center"/>
          </w:tcPr>
          <w:p w:rsidR="006679A8" w:rsidRPr="00F10DC1" w:rsidRDefault="006679A8" w:rsidP="006679A8">
            <w:pPr>
              <w:jc w:val="center"/>
            </w:pPr>
            <w:r w:rsidRPr="00F10DC1">
              <w:t>Service Require</w:t>
            </w:r>
            <w:smartTag w:uri="urn:schemas-microsoft-com:office:smarttags" w:element="PersonName">
              <w:r w:rsidRPr="00F10DC1">
                <w:t>m</w:t>
              </w:r>
            </w:smartTag>
            <w:r w:rsidRPr="00F10DC1">
              <w:t>ent</w:t>
            </w:r>
          </w:p>
        </w:tc>
        <w:tc>
          <w:tcPr>
            <w:tcW w:w="658" w:type="pct"/>
            <w:shd w:val="clear" w:color="auto" w:fill="FFFFFF"/>
            <w:vAlign w:val="center"/>
          </w:tcPr>
          <w:p w:rsidR="006679A8" w:rsidRPr="00E44C74" w:rsidRDefault="006679A8" w:rsidP="006679A8">
            <w:pPr>
              <w:jc w:val="center"/>
            </w:pPr>
            <w:r>
              <w:t>Feb-25</w:t>
            </w:r>
          </w:p>
        </w:tc>
        <w:tc>
          <w:tcPr>
            <w:tcW w:w="612" w:type="pct"/>
            <w:shd w:val="clear" w:color="auto" w:fill="FFFFFF"/>
            <w:vAlign w:val="center"/>
          </w:tcPr>
          <w:p w:rsidR="006679A8" w:rsidRPr="00E44C74" w:rsidRDefault="006679A8" w:rsidP="006679A8">
            <w:pPr>
              <w:jc w:val="center"/>
            </w:pPr>
            <w:r>
              <w:t>Mar-25</w:t>
            </w:r>
          </w:p>
        </w:tc>
        <w:tc>
          <w:tcPr>
            <w:tcW w:w="564" w:type="pct"/>
            <w:shd w:val="clear" w:color="auto" w:fill="FFFFFF"/>
            <w:vAlign w:val="center"/>
          </w:tcPr>
          <w:p w:rsidR="006679A8" w:rsidRPr="00E44C74" w:rsidRDefault="006679A8" w:rsidP="006679A8">
            <w:pPr>
              <w:jc w:val="center"/>
            </w:pPr>
            <w:r>
              <w:t>Apr-25</w:t>
            </w:r>
          </w:p>
        </w:tc>
        <w:tc>
          <w:tcPr>
            <w:tcW w:w="613" w:type="pct"/>
            <w:shd w:val="clear" w:color="auto" w:fill="FFFFFF"/>
            <w:vAlign w:val="center"/>
          </w:tcPr>
          <w:p w:rsidR="006679A8" w:rsidRPr="00E44C74" w:rsidRDefault="006679A8" w:rsidP="006679A8">
            <w:pPr>
              <w:jc w:val="center"/>
            </w:pPr>
            <w:r>
              <w:t>May-25</w:t>
            </w:r>
          </w:p>
        </w:tc>
        <w:tc>
          <w:tcPr>
            <w:tcW w:w="611" w:type="pct"/>
            <w:shd w:val="clear" w:color="auto" w:fill="FFFFFF"/>
            <w:vAlign w:val="center"/>
          </w:tcPr>
          <w:p w:rsidR="006679A8" w:rsidRPr="00E44C74" w:rsidRDefault="006679A8" w:rsidP="006679A8">
            <w:pPr>
              <w:jc w:val="center"/>
            </w:pPr>
            <w:r>
              <w:t>Jun-25</w:t>
            </w:r>
          </w:p>
        </w:tc>
        <w:tc>
          <w:tcPr>
            <w:tcW w:w="565" w:type="pct"/>
            <w:shd w:val="clear" w:color="auto" w:fill="FFFFFF"/>
            <w:vAlign w:val="center"/>
          </w:tcPr>
          <w:p w:rsidR="006679A8" w:rsidRPr="00E44C74" w:rsidRDefault="006679A8" w:rsidP="002607C6">
            <w:pPr>
              <w:spacing w:before="0" w:after="0"/>
              <w:jc w:val="center"/>
            </w:pPr>
            <w:r>
              <w:t>Jul-25</w:t>
            </w:r>
          </w:p>
        </w:tc>
      </w:tr>
      <w:tr w:rsidR="00257D80" w:rsidRPr="00022D09" w:rsidTr="00A855AD">
        <w:trPr>
          <w:trHeight w:val="939"/>
        </w:trPr>
        <w:tc>
          <w:tcPr>
            <w:tcW w:w="1377" w:type="pct"/>
            <w:vAlign w:val="center"/>
          </w:tcPr>
          <w:p w:rsidR="00257D80" w:rsidRPr="00022D09" w:rsidRDefault="00257D80" w:rsidP="00A855AD">
            <w:pPr>
              <w:jc w:val="center"/>
            </w:pPr>
            <w:r>
              <w:t>100</w:t>
            </w:r>
            <w:r w:rsidRPr="00022D09">
              <w:t>% UES</w:t>
            </w:r>
            <w:r>
              <w:t xml:space="preserve">                  Large</w:t>
            </w:r>
            <w:r w:rsidRPr="00022D09">
              <w:t xml:space="preserve"> Customer Group</w:t>
            </w:r>
            <w:r>
              <w:t xml:space="preserve"> </w:t>
            </w:r>
            <w:proofErr w:type="gramStart"/>
            <w:r>
              <w:t xml:space="preserve">   (</w:t>
            </w:r>
            <w:proofErr w:type="gramEnd"/>
            <w:r>
              <w:t>6 months)</w:t>
            </w:r>
          </w:p>
        </w:tc>
        <w:tc>
          <w:tcPr>
            <w:tcW w:w="658" w:type="pct"/>
            <w:shd w:val="clear" w:color="auto" w:fill="FFFFFF"/>
            <w:vAlign w:val="center"/>
          </w:tcPr>
          <w:p w:rsidR="00257D80" w:rsidRPr="00022D09" w:rsidRDefault="00257D80" w:rsidP="00A855AD">
            <w:pPr>
              <w:jc w:val="center"/>
            </w:pPr>
          </w:p>
        </w:tc>
        <w:tc>
          <w:tcPr>
            <w:tcW w:w="612" w:type="pct"/>
            <w:shd w:val="clear" w:color="auto" w:fill="FFFFFF"/>
            <w:vAlign w:val="center"/>
          </w:tcPr>
          <w:p w:rsidR="00257D80" w:rsidRPr="00022D09" w:rsidRDefault="00257D80" w:rsidP="00A855AD">
            <w:pPr>
              <w:jc w:val="center"/>
            </w:pPr>
          </w:p>
        </w:tc>
        <w:tc>
          <w:tcPr>
            <w:tcW w:w="564" w:type="pct"/>
            <w:shd w:val="clear" w:color="auto" w:fill="FFFFFF"/>
            <w:vAlign w:val="center"/>
          </w:tcPr>
          <w:p w:rsidR="00257D80" w:rsidRPr="00022D09" w:rsidRDefault="00257D80" w:rsidP="00A855AD">
            <w:pPr>
              <w:jc w:val="center"/>
            </w:pPr>
          </w:p>
        </w:tc>
        <w:tc>
          <w:tcPr>
            <w:tcW w:w="613" w:type="pct"/>
            <w:shd w:val="clear" w:color="auto" w:fill="FFFFFF"/>
            <w:vAlign w:val="center"/>
          </w:tcPr>
          <w:p w:rsidR="00257D80" w:rsidRPr="00022D09" w:rsidRDefault="00257D80" w:rsidP="00A855AD">
            <w:pPr>
              <w:jc w:val="center"/>
            </w:pPr>
          </w:p>
        </w:tc>
        <w:tc>
          <w:tcPr>
            <w:tcW w:w="611" w:type="pct"/>
            <w:shd w:val="clear" w:color="auto" w:fill="FFFFFF"/>
            <w:vAlign w:val="center"/>
          </w:tcPr>
          <w:p w:rsidR="00257D80" w:rsidRPr="00022D09" w:rsidRDefault="00257D80" w:rsidP="00A855AD">
            <w:pPr>
              <w:jc w:val="center"/>
            </w:pPr>
          </w:p>
        </w:tc>
        <w:tc>
          <w:tcPr>
            <w:tcW w:w="565" w:type="pct"/>
            <w:shd w:val="clear" w:color="auto" w:fill="FFFFFF"/>
            <w:vAlign w:val="center"/>
          </w:tcPr>
          <w:p w:rsidR="00257D80" w:rsidRPr="00022D09" w:rsidRDefault="00257D80" w:rsidP="00A855AD">
            <w:pPr>
              <w:jc w:val="center"/>
            </w:pPr>
          </w:p>
        </w:tc>
      </w:tr>
    </w:tbl>
    <w:p w:rsidR="00A238FA" w:rsidRPr="00014334" w:rsidRDefault="00A238FA" w:rsidP="00871ADA"/>
    <w:sectPr w:rsidR="00A238FA" w:rsidRPr="00014334" w:rsidSect="00AB0D86">
      <w:pgSz w:w="12240" w:h="15840" w:code="1"/>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4649" w:rsidRDefault="005E4649">
      <w:r>
        <w:separator/>
      </w:r>
    </w:p>
  </w:endnote>
  <w:endnote w:type="continuationSeparator" w:id="0">
    <w:p w:rsidR="005E4649" w:rsidRDefault="005E4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649" w:rsidRDefault="005E4649" w:rsidP="00A83F01">
    <w:pPr>
      <w:pStyle w:val="Footer"/>
      <w:jc w:val="center"/>
    </w:pPr>
    <w:r>
      <w:t>A</w:t>
    </w:r>
    <w:smartTag w:uri="urn:schemas-microsoft-com:office:smarttags" w:element="PersonName">
      <w:r>
        <w:t>m</w:t>
      </w:r>
    </w:smartTag>
    <w:r>
      <w:t>end</w:t>
    </w:r>
    <w:smartTag w:uri="urn:schemas-microsoft-com:office:smarttags" w:element="PersonName">
      <w:r>
        <w:t>m</w:t>
      </w:r>
    </w:smartTag>
    <w:r>
      <w:t xml:space="preserve">ent No. [X], dated </w:t>
    </w:r>
    <w:r w:rsidR="006679A8">
      <w:t>December 4</w:t>
    </w:r>
    <w:r w:rsidR="00232D4A">
      <w:t>, 2024</w:t>
    </w:r>
  </w:p>
  <w:p w:rsidR="005E4649" w:rsidRDefault="005E4649" w:rsidP="00A83F01">
    <w:pPr>
      <w:pStyle w:val="Footer"/>
      <w:jc w:val="center"/>
      <w:rPr>
        <w:rStyle w:val="PageNumber"/>
      </w:rPr>
    </w:pPr>
    <w:r>
      <w:t xml:space="preserve">to Power Sales Agreement dated </w:t>
    </w:r>
    <w:r w:rsidR="004F646C">
      <w:t>[DATE]</w:t>
    </w:r>
  </w:p>
  <w:p w:rsidR="005E4649" w:rsidRDefault="005E4649">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5E4116">
      <w:rPr>
        <w:rStyle w:val="PageNumber"/>
        <w:noProof/>
      </w:rPr>
      <w:t>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5E4116">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4649" w:rsidRDefault="005E4649">
      <w:r>
        <w:separator/>
      </w:r>
    </w:p>
  </w:footnote>
  <w:footnote w:type="continuationSeparator" w:id="0">
    <w:p w:rsidR="005E4649" w:rsidRDefault="005E46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D23CC3"/>
    <w:multiLevelType w:val="hybridMultilevel"/>
    <w:tmpl w:val="62CA40A6"/>
    <w:lvl w:ilvl="0" w:tplc="E9E6CA32">
      <w:start w:val="7"/>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7B6341C"/>
    <w:multiLevelType w:val="hybridMultilevel"/>
    <w:tmpl w:val="AF18CB2E"/>
    <w:lvl w:ilvl="0" w:tplc="8FB230D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97F1A6C"/>
    <w:multiLevelType w:val="multilevel"/>
    <w:tmpl w:val="233276F0"/>
    <w:lvl w:ilvl="0">
      <w:start w:val="1"/>
      <w:numFmt w:val="cardinalText"/>
      <w:suff w:val="nothing"/>
      <w:lvlText w:val="ARTICLE %1:     "/>
      <w:lvlJc w:val="left"/>
      <w:pPr>
        <w:ind w:left="0" w:firstLine="0"/>
      </w:pPr>
      <w:rPr>
        <w:rFonts w:ascii="Times New Roman" w:hAnsi="Times New Roman" w:hint="default"/>
        <w:b/>
        <w:i w:val="0"/>
        <w:caps/>
        <w:sz w:val="24"/>
      </w:rPr>
    </w:lvl>
    <w:lvl w:ilvl="1">
      <w:start w:val="1"/>
      <w:numFmt w:val="decimal"/>
      <w:isLgl/>
      <w:lvlText w:val="%1.%2"/>
      <w:lvlJc w:val="left"/>
      <w:pPr>
        <w:tabs>
          <w:tab w:val="num" w:pos="1080"/>
        </w:tabs>
        <w:ind w:left="0" w:firstLine="720"/>
      </w:pPr>
      <w:rPr>
        <w:rFonts w:ascii="Times New Roman" w:hAnsi="Times New Roman" w:hint="default"/>
        <w:b w:val="0"/>
        <w:i w:val="0"/>
        <w:sz w:val="24"/>
        <w:u w:val="none"/>
      </w:rPr>
    </w:lvl>
    <w:lvl w:ilvl="2">
      <w:start w:val="1"/>
      <w:numFmt w:val="lowerLetter"/>
      <w:lvlText w:val="(%3)"/>
      <w:lvlJc w:val="left"/>
      <w:pPr>
        <w:tabs>
          <w:tab w:val="num" w:pos="2160"/>
        </w:tabs>
        <w:ind w:left="2160" w:hanging="720"/>
      </w:pPr>
      <w:rPr>
        <w:rFonts w:ascii="Times New Roman" w:hAnsi="Times New Roman" w:hint="default"/>
        <w:b w:val="0"/>
        <w:i w:val="0"/>
        <w:sz w:val="24"/>
      </w:rPr>
    </w:lvl>
    <w:lvl w:ilvl="3">
      <w:start w:val="1"/>
      <w:numFmt w:val="lowerRoman"/>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2160"/>
        </w:tabs>
        <w:ind w:left="2160" w:hanging="720"/>
      </w:pPr>
      <w:rPr>
        <w:rFonts w:ascii="Times New Roman" w:hAnsi="Times New Roman" w:hint="default"/>
        <w:b w:val="0"/>
        <w:i w:val="0"/>
        <w:sz w:val="24"/>
      </w:rPr>
    </w:lvl>
    <w:lvl w:ilvl="5">
      <w:start w:val="1"/>
      <w:numFmt w:val="upperRoman"/>
      <w:suff w:val="space"/>
      <w:lvlText w:val="%6."/>
      <w:lvlJc w:val="left"/>
      <w:pPr>
        <w:ind w:left="2736" w:hanging="936"/>
      </w:pPr>
      <w:rPr>
        <w:rFonts w:ascii="Times New Roman" w:hAnsi="Times New Roman" w:hint="default"/>
        <w:b/>
        <w:i w:val="0"/>
        <w:sz w:val="24"/>
        <w:u w:val="none"/>
      </w:rPr>
    </w:lvl>
    <w:lvl w:ilvl="6">
      <w:start w:val="1"/>
      <w:numFmt w:val="decimal"/>
      <w:isLgl/>
      <w:lvlText w:val="%7.01."/>
      <w:lvlJc w:val="left"/>
      <w:pPr>
        <w:tabs>
          <w:tab w:val="num" w:pos="2160"/>
        </w:tabs>
        <w:ind w:left="0" w:firstLine="144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7F8B4CA5"/>
    <w:multiLevelType w:val="hybridMultilevel"/>
    <w:tmpl w:val="97B81584"/>
    <w:lvl w:ilvl="0" w:tplc="41E694F2">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C37"/>
    <w:rsid w:val="00004252"/>
    <w:rsid w:val="0001030B"/>
    <w:rsid w:val="000142FD"/>
    <w:rsid w:val="00014334"/>
    <w:rsid w:val="000245CE"/>
    <w:rsid w:val="00024A1D"/>
    <w:rsid w:val="000250CA"/>
    <w:rsid w:val="0006393E"/>
    <w:rsid w:val="00064308"/>
    <w:rsid w:val="00067775"/>
    <w:rsid w:val="0007083D"/>
    <w:rsid w:val="00076885"/>
    <w:rsid w:val="00077031"/>
    <w:rsid w:val="000871A7"/>
    <w:rsid w:val="00091E37"/>
    <w:rsid w:val="000977E9"/>
    <w:rsid w:val="000A00CB"/>
    <w:rsid w:val="000A5D8E"/>
    <w:rsid w:val="000A6BF1"/>
    <w:rsid w:val="000B18B7"/>
    <w:rsid w:val="000B44D6"/>
    <w:rsid w:val="000B588A"/>
    <w:rsid w:val="000C590D"/>
    <w:rsid w:val="000D05DF"/>
    <w:rsid w:val="000D3AA0"/>
    <w:rsid w:val="000D7804"/>
    <w:rsid w:val="000E10F1"/>
    <w:rsid w:val="000E4AB1"/>
    <w:rsid w:val="00153717"/>
    <w:rsid w:val="00161E5E"/>
    <w:rsid w:val="00163DEE"/>
    <w:rsid w:val="001721CF"/>
    <w:rsid w:val="00172484"/>
    <w:rsid w:val="001D0331"/>
    <w:rsid w:val="001D4B7E"/>
    <w:rsid w:val="001E1DD6"/>
    <w:rsid w:val="001E5B7B"/>
    <w:rsid w:val="001E720B"/>
    <w:rsid w:val="001F6A23"/>
    <w:rsid w:val="00213065"/>
    <w:rsid w:val="0021306B"/>
    <w:rsid w:val="00217636"/>
    <w:rsid w:val="00231077"/>
    <w:rsid w:val="00232D4A"/>
    <w:rsid w:val="0023308C"/>
    <w:rsid w:val="00243C70"/>
    <w:rsid w:val="00247298"/>
    <w:rsid w:val="00254445"/>
    <w:rsid w:val="00254AFE"/>
    <w:rsid w:val="00254C5C"/>
    <w:rsid w:val="00257D80"/>
    <w:rsid w:val="002607C6"/>
    <w:rsid w:val="00272003"/>
    <w:rsid w:val="00275805"/>
    <w:rsid w:val="00292460"/>
    <w:rsid w:val="002B3179"/>
    <w:rsid w:val="002B6994"/>
    <w:rsid w:val="002C0406"/>
    <w:rsid w:val="002D0A36"/>
    <w:rsid w:val="002F24E3"/>
    <w:rsid w:val="002F4185"/>
    <w:rsid w:val="002F7D33"/>
    <w:rsid w:val="00301824"/>
    <w:rsid w:val="00304028"/>
    <w:rsid w:val="003113A1"/>
    <w:rsid w:val="00315641"/>
    <w:rsid w:val="003169CF"/>
    <w:rsid w:val="00323BCB"/>
    <w:rsid w:val="00337C89"/>
    <w:rsid w:val="003418A6"/>
    <w:rsid w:val="0035647A"/>
    <w:rsid w:val="00360ED9"/>
    <w:rsid w:val="0037253B"/>
    <w:rsid w:val="003743C4"/>
    <w:rsid w:val="003750B2"/>
    <w:rsid w:val="003820E0"/>
    <w:rsid w:val="0039502B"/>
    <w:rsid w:val="003C4CEF"/>
    <w:rsid w:val="003D489C"/>
    <w:rsid w:val="003D65D7"/>
    <w:rsid w:val="003E0AFE"/>
    <w:rsid w:val="003E7A88"/>
    <w:rsid w:val="003E7B36"/>
    <w:rsid w:val="003F40ED"/>
    <w:rsid w:val="00414601"/>
    <w:rsid w:val="004153B5"/>
    <w:rsid w:val="004174DC"/>
    <w:rsid w:val="004203EE"/>
    <w:rsid w:val="00423B30"/>
    <w:rsid w:val="004416C5"/>
    <w:rsid w:val="00463706"/>
    <w:rsid w:val="00481F74"/>
    <w:rsid w:val="004851A3"/>
    <w:rsid w:val="0049232A"/>
    <w:rsid w:val="004A5C37"/>
    <w:rsid w:val="004B1961"/>
    <w:rsid w:val="004B7FE2"/>
    <w:rsid w:val="004C396B"/>
    <w:rsid w:val="004C3B5E"/>
    <w:rsid w:val="004D690E"/>
    <w:rsid w:val="004D784A"/>
    <w:rsid w:val="004F05AC"/>
    <w:rsid w:val="004F646C"/>
    <w:rsid w:val="00501AE2"/>
    <w:rsid w:val="00506F97"/>
    <w:rsid w:val="00507706"/>
    <w:rsid w:val="0053455C"/>
    <w:rsid w:val="00535EA6"/>
    <w:rsid w:val="00543E3B"/>
    <w:rsid w:val="005464E6"/>
    <w:rsid w:val="005533B4"/>
    <w:rsid w:val="00557DA1"/>
    <w:rsid w:val="00563EED"/>
    <w:rsid w:val="005648C1"/>
    <w:rsid w:val="00591165"/>
    <w:rsid w:val="0059385D"/>
    <w:rsid w:val="005A4692"/>
    <w:rsid w:val="005A5292"/>
    <w:rsid w:val="005D0077"/>
    <w:rsid w:val="005D3B2C"/>
    <w:rsid w:val="005D57E1"/>
    <w:rsid w:val="005E4116"/>
    <w:rsid w:val="005E4649"/>
    <w:rsid w:val="005E7801"/>
    <w:rsid w:val="005F1E1F"/>
    <w:rsid w:val="0060285C"/>
    <w:rsid w:val="00613D68"/>
    <w:rsid w:val="0061458A"/>
    <w:rsid w:val="00630053"/>
    <w:rsid w:val="00643953"/>
    <w:rsid w:val="00654944"/>
    <w:rsid w:val="00666FDD"/>
    <w:rsid w:val="006679A8"/>
    <w:rsid w:val="006757CA"/>
    <w:rsid w:val="00683F10"/>
    <w:rsid w:val="006B5AD8"/>
    <w:rsid w:val="006B6413"/>
    <w:rsid w:val="006C3592"/>
    <w:rsid w:val="006C531F"/>
    <w:rsid w:val="006C5FA4"/>
    <w:rsid w:val="006C6F94"/>
    <w:rsid w:val="006D20D0"/>
    <w:rsid w:val="006D2FD0"/>
    <w:rsid w:val="006D79BC"/>
    <w:rsid w:val="006E5FB6"/>
    <w:rsid w:val="006F17C0"/>
    <w:rsid w:val="006F5421"/>
    <w:rsid w:val="006F7E75"/>
    <w:rsid w:val="007074CC"/>
    <w:rsid w:val="00713D78"/>
    <w:rsid w:val="00723152"/>
    <w:rsid w:val="007324D4"/>
    <w:rsid w:val="00732F56"/>
    <w:rsid w:val="00741524"/>
    <w:rsid w:val="00741906"/>
    <w:rsid w:val="00750996"/>
    <w:rsid w:val="007539EC"/>
    <w:rsid w:val="00756A40"/>
    <w:rsid w:val="00757CAA"/>
    <w:rsid w:val="0076416D"/>
    <w:rsid w:val="00767C78"/>
    <w:rsid w:val="00776A70"/>
    <w:rsid w:val="00790EB1"/>
    <w:rsid w:val="00794038"/>
    <w:rsid w:val="00797407"/>
    <w:rsid w:val="007A14C5"/>
    <w:rsid w:val="007A7478"/>
    <w:rsid w:val="007B0EA6"/>
    <w:rsid w:val="007B6918"/>
    <w:rsid w:val="007C479F"/>
    <w:rsid w:val="007D118F"/>
    <w:rsid w:val="007D4323"/>
    <w:rsid w:val="007D71DE"/>
    <w:rsid w:val="007F423D"/>
    <w:rsid w:val="00802439"/>
    <w:rsid w:val="00806D7D"/>
    <w:rsid w:val="00810DA7"/>
    <w:rsid w:val="00832B18"/>
    <w:rsid w:val="00835F26"/>
    <w:rsid w:val="00837366"/>
    <w:rsid w:val="00847A96"/>
    <w:rsid w:val="00852A09"/>
    <w:rsid w:val="008553DF"/>
    <w:rsid w:val="00864E47"/>
    <w:rsid w:val="00871ADA"/>
    <w:rsid w:val="008742E9"/>
    <w:rsid w:val="00876A4E"/>
    <w:rsid w:val="008A36B5"/>
    <w:rsid w:val="008C14F9"/>
    <w:rsid w:val="008C2996"/>
    <w:rsid w:val="008C6B91"/>
    <w:rsid w:val="008E51BA"/>
    <w:rsid w:val="008E6283"/>
    <w:rsid w:val="008F3481"/>
    <w:rsid w:val="008F3893"/>
    <w:rsid w:val="00915302"/>
    <w:rsid w:val="00920F56"/>
    <w:rsid w:val="00926D5F"/>
    <w:rsid w:val="00946BF4"/>
    <w:rsid w:val="00964AE4"/>
    <w:rsid w:val="00975C9F"/>
    <w:rsid w:val="00985C25"/>
    <w:rsid w:val="0099718F"/>
    <w:rsid w:val="009A667C"/>
    <w:rsid w:val="009C1B0E"/>
    <w:rsid w:val="009D0BB8"/>
    <w:rsid w:val="009D5A63"/>
    <w:rsid w:val="009E3793"/>
    <w:rsid w:val="009E5033"/>
    <w:rsid w:val="009E7380"/>
    <w:rsid w:val="009E7711"/>
    <w:rsid w:val="009F0E82"/>
    <w:rsid w:val="009F5FCC"/>
    <w:rsid w:val="00A00849"/>
    <w:rsid w:val="00A01C81"/>
    <w:rsid w:val="00A2234A"/>
    <w:rsid w:val="00A238FA"/>
    <w:rsid w:val="00A30C83"/>
    <w:rsid w:val="00A4287B"/>
    <w:rsid w:val="00A43F03"/>
    <w:rsid w:val="00A4568D"/>
    <w:rsid w:val="00A50006"/>
    <w:rsid w:val="00A52E80"/>
    <w:rsid w:val="00A705FB"/>
    <w:rsid w:val="00A70621"/>
    <w:rsid w:val="00A75A39"/>
    <w:rsid w:val="00A778A3"/>
    <w:rsid w:val="00A81931"/>
    <w:rsid w:val="00A83F01"/>
    <w:rsid w:val="00AA00F6"/>
    <w:rsid w:val="00AB0D86"/>
    <w:rsid w:val="00AB62D5"/>
    <w:rsid w:val="00AC61DA"/>
    <w:rsid w:val="00AC7488"/>
    <w:rsid w:val="00AD0EFE"/>
    <w:rsid w:val="00AD1234"/>
    <w:rsid w:val="00AE20C5"/>
    <w:rsid w:val="00AE7226"/>
    <w:rsid w:val="00AF032B"/>
    <w:rsid w:val="00B04196"/>
    <w:rsid w:val="00B34CC2"/>
    <w:rsid w:val="00B40DA8"/>
    <w:rsid w:val="00B42298"/>
    <w:rsid w:val="00B45E81"/>
    <w:rsid w:val="00B527EE"/>
    <w:rsid w:val="00B53D1C"/>
    <w:rsid w:val="00B55A65"/>
    <w:rsid w:val="00B608C8"/>
    <w:rsid w:val="00B7296E"/>
    <w:rsid w:val="00B907A6"/>
    <w:rsid w:val="00BA3613"/>
    <w:rsid w:val="00BA7F2E"/>
    <w:rsid w:val="00BB017A"/>
    <w:rsid w:val="00BB28F7"/>
    <w:rsid w:val="00BB6BED"/>
    <w:rsid w:val="00BD216D"/>
    <w:rsid w:val="00BD7E7A"/>
    <w:rsid w:val="00BE2ACA"/>
    <w:rsid w:val="00BE6E91"/>
    <w:rsid w:val="00BF2193"/>
    <w:rsid w:val="00C1267E"/>
    <w:rsid w:val="00C1534A"/>
    <w:rsid w:val="00C16555"/>
    <w:rsid w:val="00C16C41"/>
    <w:rsid w:val="00C247EA"/>
    <w:rsid w:val="00C272CE"/>
    <w:rsid w:val="00C37AC6"/>
    <w:rsid w:val="00C43623"/>
    <w:rsid w:val="00C71421"/>
    <w:rsid w:val="00C76964"/>
    <w:rsid w:val="00C76EFC"/>
    <w:rsid w:val="00C92A41"/>
    <w:rsid w:val="00C94626"/>
    <w:rsid w:val="00CA4AFA"/>
    <w:rsid w:val="00CA62A2"/>
    <w:rsid w:val="00CB5320"/>
    <w:rsid w:val="00CD22E1"/>
    <w:rsid w:val="00CD68ED"/>
    <w:rsid w:val="00CE2A37"/>
    <w:rsid w:val="00CF5DEA"/>
    <w:rsid w:val="00D164CE"/>
    <w:rsid w:val="00D215F2"/>
    <w:rsid w:val="00D21A06"/>
    <w:rsid w:val="00D40F25"/>
    <w:rsid w:val="00D51F25"/>
    <w:rsid w:val="00D55832"/>
    <w:rsid w:val="00D60808"/>
    <w:rsid w:val="00D63F3B"/>
    <w:rsid w:val="00D71215"/>
    <w:rsid w:val="00D734DA"/>
    <w:rsid w:val="00D763BD"/>
    <w:rsid w:val="00D961D3"/>
    <w:rsid w:val="00DB107C"/>
    <w:rsid w:val="00DC136D"/>
    <w:rsid w:val="00DC4796"/>
    <w:rsid w:val="00DF1BAD"/>
    <w:rsid w:val="00DF46A5"/>
    <w:rsid w:val="00E02C5C"/>
    <w:rsid w:val="00E162D3"/>
    <w:rsid w:val="00E2028B"/>
    <w:rsid w:val="00E32111"/>
    <w:rsid w:val="00E33DAE"/>
    <w:rsid w:val="00E425CB"/>
    <w:rsid w:val="00E4570C"/>
    <w:rsid w:val="00E46446"/>
    <w:rsid w:val="00E6131B"/>
    <w:rsid w:val="00E811EF"/>
    <w:rsid w:val="00E83D94"/>
    <w:rsid w:val="00E90A6A"/>
    <w:rsid w:val="00E94030"/>
    <w:rsid w:val="00E96D15"/>
    <w:rsid w:val="00EA3DA0"/>
    <w:rsid w:val="00EB0027"/>
    <w:rsid w:val="00EB23E0"/>
    <w:rsid w:val="00EB79AD"/>
    <w:rsid w:val="00EC3C2C"/>
    <w:rsid w:val="00ED5618"/>
    <w:rsid w:val="00ED64FA"/>
    <w:rsid w:val="00ED709C"/>
    <w:rsid w:val="00EE2BBB"/>
    <w:rsid w:val="00EE77FE"/>
    <w:rsid w:val="00EF06EE"/>
    <w:rsid w:val="00EF1224"/>
    <w:rsid w:val="00F004D3"/>
    <w:rsid w:val="00F15E28"/>
    <w:rsid w:val="00F20C98"/>
    <w:rsid w:val="00F263B0"/>
    <w:rsid w:val="00F308BC"/>
    <w:rsid w:val="00F37428"/>
    <w:rsid w:val="00F4267B"/>
    <w:rsid w:val="00F431A4"/>
    <w:rsid w:val="00F4415B"/>
    <w:rsid w:val="00F50C3B"/>
    <w:rsid w:val="00F70F6F"/>
    <w:rsid w:val="00F7299A"/>
    <w:rsid w:val="00F83A29"/>
    <w:rsid w:val="00F91283"/>
    <w:rsid w:val="00F946B1"/>
    <w:rsid w:val="00FD1F64"/>
    <w:rsid w:val="00FD2A42"/>
    <w:rsid w:val="00FD2C01"/>
    <w:rsid w:val="00FD62A0"/>
    <w:rsid w:val="00FD73D1"/>
    <w:rsid w:val="00FE240E"/>
    <w:rsid w:val="00FE49D7"/>
    <w:rsid w:val="00FE7567"/>
    <w:rsid w:val="00FE7D05"/>
    <w:rsid w:val="00FF1A5D"/>
    <w:rsid w:val="00FF6948"/>
    <w:rsid w:val="00FF7003"/>
    <w:rsid w:val="00FF7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8305"/>
    <o:shapelayout v:ext="edit">
      <o:idmap v:ext="edit" data="1"/>
    </o:shapelayout>
  </w:shapeDefaults>
  <w:decimalSymbol w:val="."/>
  <w:listSeparator w:val=","/>
  <w15:docId w15:val="{11FF6B49-ADF1-40F5-A8DE-BE3D220EF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6A40"/>
    <w:pPr>
      <w:spacing w:before="120" w:after="120"/>
      <w:jc w:val="both"/>
    </w:pPr>
    <w:rPr>
      <w:sz w:val="24"/>
    </w:rPr>
  </w:style>
  <w:style w:type="paragraph" w:styleId="Heading1">
    <w:name w:val="heading 1"/>
    <w:basedOn w:val="Normal"/>
    <w:next w:val="Normal"/>
    <w:qFormat/>
    <w:rsid w:val="0049232A"/>
    <w:pPr>
      <w:keepNext/>
      <w:spacing w:before="240" w:after="240"/>
      <w:jc w:val="center"/>
      <w:outlineLvl w:val="0"/>
    </w:pPr>
    <w:rPr>
      <w:b/>
      <w:sz w:val="26"/>
    </w:rPr>
  </w:style>
  <w:style w:type="paragraph" w:styleId="Heading2">
    <w:name w:val="heading 2"/>
    <w:basedOn w:val="Normal"/>
    <w:next w:val="Normal"/>
    <w:qFormat/>
    <w:rsid w:val="00756A40"/>
    <w:pPr>
      <w:keepNext/>
      <w:outlineLvl w:val="1"/>
    </w:pPr>
    <w:rPr>
      <w:b/>
      <w:color w:val="000000"/>
    </w:rPr>
  </w:style>
  <w:style w:type="paragraph" w:styleId="Heading3">
    <w:name w:val="heading 3"/>
    <w:basedOn w:val="Normal"/>
    <w:next w:val="Normal"/>
    <w:qFormat/>
    <w:rsid w:val="00756A40"/>
    <w:pPr>
      <w:keepNext/>
      <w:spacing w:before="240" w:after="60"/>
      <w:ind w:left="432"/>
      <w:outlineLvl w:val="2"/>
    </w:pPr>
  </w:style>
  <w:style w:type="paragraph" w:styleId="Heading4">
    <w:name w:val="heading 4"/>
    <w:basedOn w:val="Normal"/>
    <w:next w:val="Normal"/>
    <w:qFormat/>
    <w:rsid w:val="00756A40"/>
    <w:pPr>
      <w:ind w:left="720" w:right="907"/>
      <w:jc w:val="center"/>
      <w:outlineLvl w:val="3"/>
    </w:pPr>
  </w:style>
  <w:style w:type="paragraph" w:styleId="Heading5">
    <w:name w:val="heading 5"/>
    <w:basedOn w:val="Normal"/>
    <w:next w:val="Normal"/>
    <w:qFormat/>
    <w:rsid w:val="00756A40"/>
    <w:pPr>
      <w:ind w:left="720"/>
      <w:jc w:val="center"/>
      <w:outlineLvl w:val="4"/>
    </w:pPr>
  </w:style>
  <w:style w:type="paragraph" w:styleId="Heading6">
    <w:name w:val="heading 6"/>
    <w:basedOn w:val="Normal"/>
    <w:next w:val="Normal"/>
    <w:qFormat/>
    <w:rsid w:val="00756A40"/>
    <w:pPr>
      <w:keepNext/>
      <w:spacing w:after="0"/>
      <w:jc w:val="center"/>
      <w:outlineLvl w:val="5"/>
    </w:pPr>
    <w:rPr>
      <w:b/>
      <w:sz w:val="26"/>
    </w:rPr>
  </w:style>
  <w:style w:type="paragraph" w:styleId="Heading7">
    <w:name w:val="heading 7"/>
    <w:basedOn w:val="Normal"/>
    <w:next w:val="Normal"/>
    <w:qFormat/>
    <w:rsid w:val="00756A40"/>
    <w:pPr>
      <w:keepNext/>
      <w:jc w:val="center"/>
      <w:outlineLvl w:val="6"/>
    </w:pPr>
    <w:rPr>
      <w:sz w:val="60"/>
    </w:rPr>
  </w:style>
  <w:style w:type="paragraph" w:styleId="Heading8">
    <w:name w:val="heading 8"/>
    <w:basedOn w:val="Normal"/>
    <w:next w:val="Normal"/>
    <w:link w:val="Heading8Char"/>
    <w:qFormat/>
    <w:rsid w:val="00756A40"/>
    <w:pPr>
      <w:keepNext/>
      <w:jc w:val="center"/>
      <w:outlineLvl w:val="7"/>
    </w:pPr>
    <w:rPr>
      <w:sz w:val="40"/>
    </w:rPr>
  </w:style>
  <w:style w:type="paragraph" w:styleId="Heading9">
    <w:name w:val="heading 9"/>
    <w:basedOn w:val="Normal"/>
    <w:next w:val="Normal"/>
    <w:link w:val="Heading9Char"/>
    <w:qFormat/>
    <w:rsid w:val="00756A40"/>
    <w:pPr>
      <w:keepNext/>
      <w:spacing w:after="0"/>
      <w:ind w:left="28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1"/>
    <w:basedOn w:val="Normal"/>
    <w:qFormat/>
    <w:rsid w:val="00756A40"/>
    <w:pPr>
      <w:spacing w:after="0"/>
      <w:jc w:val="center"/>
    </w:pPr>
    <w:rPr>
      <w:sz w:val="36"/>
    </w:rPr>
  </w:style>
  <w:style w:type="paragraph" w:styleId="BodyText">
    <w:name w:val="Body Text"/>
    <w:basedOn w:val="Normal"/>
    <w:rPr>
      <w:b/>
      <w:bCs/>
      <w:sz w:val="20"/>
    </w:rPr>
  </w:style>
  <w:style w:type="paragraph" w:styleId="BodyTextIndent">
    <w:name w:val="Body Text Indent"/>
    <w:basedOn w:val="Normal"/>
    <w:pPr>
      <w:ind w:left="720" w:hanging="720"/>
    </w:pPr>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pPr>
    <w:rPr>
      <w:sz w:val="20"/>
    </w:rPr>
  </w:style>
  <w:style w:type="paragraph" w:styleId="BodyTextIndent2">
    <w:name w:val="Body Text Indent 2"/>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ind w:left="4680" w:hanging="4680"/>
    </w:pPr>
    <w:rPr>
      <w:b/>
      <w:bCs/>
      <w:sz w:val="20"/>
    </w:rPr>
  </w:style>
  <w:style w:type="paragraph" w:styleId="BalloonText">
    <w:name w:val="Balloon Text"/>
    <w:basedOn w:val="Normal"/>
    <w:semiHidden/>
    <w:rsid w:val="00360ED9"/>
    <w:rPr>
      <w:rFonts w:ascii="Tahoma" w:hAnsi="Tahoma" w:cs="Tahoma"/>
      <w:sz w:val="16"/>
      <w:szCs w:val="16"/>
    </w:rPr>
  </w:style>
  <w:style w:type="character" w:styleId="PageNumber">
    <w:name w:val="page number"/>
    <w:basedOn w:val="DefaultParagraphFont"/>
    <w:rsid w:val="004F05AC"/>
  </w:style>
  <w:style w:type="table" w:styleId="TableGrid">
    <w:name w:val="Table Grid"/>
    <w:basedOn w:val="TableNormal"/>
    <w:rsid w:val="0007083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E46446"/>
    <w:pPr>
      <w:shd w:val="clear" w:color="auto" w:fill="000080"/>
    </w:pPr>
    <w:rPr>
      <w:rFonts w:ascii="Tahoma" w:hAnsi="Tahoma" w:cs="Tahoma"/>
    </w:rPr>
  </w:style>
  <w:style w:type="character" w:customStyle="1" w:styleId="Heading8Char">
    <w:name w:val="Heading 8 Char"/>
    <w:basedOn w:val="DefaultParagraphFont"/>
    <w:link w:val="Heading8"/>
    <w:rsid w:val="00756A40"/>
    <w:rPr>
      <w:sz w:val="40"/>
    </w:rPr>
  </w:style>
  <w:style w:type="character" w:customStyle="1" w:styleId="Heading9Char">
    <w:name w:val="Heading 9 Char"/>
    <w:basedOn w:val="DefaultParagraphFont"/>
    <w:link w:val="Heading9"/>
    <w:rsid w:val="00756A40"/>
    <w:rPr>
      <w:sz w:val="24"/>
    </w:rPr>
  </w:style>
  <w:style w:type="paragraph" w:styleId="Caption">
    <w:name w:val="caption"/>
    <w:basedOn w:val="Normal"/>
    <w:next w:val="Normal"/>
    <w:link w:val="CaptionChar"/>
    <w:semiHidden/>
    <w:unhideWhenUsed/>
    <w:qFormat/>
    <w:rsid w:val="00756A40"/>
    <w:pPr>
      <w:spacing w:before="0" w:after="200"/>
    </w:pPr>
    <w:rPr>
      <w:b/>
      <w:bCs/>
      <w:color w:val="4F81BD" w:themeColor="accent1"/>
      <w:sz w:val="18"/>
      <w:szCs w:val="18"/>
    </w:rPr>
  </w:style>
  <w:style w:type="character" w:styleId="BookTitle">
    <w:name w:val="Book Title"/>
    <w:basedOn w:val="DefaultParagraphFont"/>
    <w:uiPriority w:val="33"/>
    <w:qFormat/>
    <w:rsid w:val="00756A40"/>
    <w:rPr>
      <w:b/>
      <w:bCs/>
      <w:smallCaps/>
      <w:spacing w:val="5"/>
    </w:rPr>
  </w:style>
  <w:style w:type="character" w:styleId="PlaceholderText">
    <w:name w:val="Placeholder Text"/>
    <w:basedOn w:val="DefaultParagraphFont"/>
    <w:uiPriority w:val="99"/>
    <w:semiHidden/>
    <w:rsid w:val="00756A40"/>
    <w:rPr>
      <w:color w:val="808080"/>
    </w:rPr>
  </w:style>
  <w:style w:type="paragraph" w:customStyle="1" w:styleId="Equation">
    <w:name w:val="Equation"/>
    <w:basedOn w:val="Caption"/>
    <w:link w:val="EquationChar"/>
    <w:qFormat/>
    <w:rsid w:val="00E96D15"/>
    <w:pPr>
      <w:keepNext/>
    </w:pPr>
    <w:rPr>
      <w:color w:val="auto"/>
      <w:sz w:val="24"/>
    </w:rPr>
  </w:style>
  <w:style w:type="character" w:customStyle="1" w:styleId="CaptionChar">
    <w:name w:val="Caption Char"/>
    <w:basedOn w:val="DefaultParagraphFont"/>
    <w:link w:val="Caption"/>
    <w:semiHidden/>
    <w:rsid w:val="00756A40"/>
    <w:rPr>
      <w:b/>
      <w:bCs/>
      <w:color w:val="4F81BD" w:themeColor="accent1"/>
      <w:sz w:val="18"/>
      <w:szCs w:val="18"/>
    </w:rPr>
  </w:style>
  <w:style w:type="character" w:customStyle="1" w:styleId="EquationChar">
    <w:name w:val="Equation Char"/>
    <w:basedOn w:val="CaptionChar"/>
    <w:link w:val="Equation"/>
    <w:rsid w:val="00E96D15"/>
    <w:rPr>
      <w:b/>
      <w:bCs/>
      <w:color w:val="4F81BD" w:themeColor="accent1"/>
      <w:sz w:val="24"/>
      <w:szCs w:val="18"/>
    </w:rPr>
  </w:style>
  <w:style w:type="character" w:styleId="CommentReference">
    <w:name w:val="annotation reference"/>
    <w:basedOn w:val="DefaultParagraphFont"/>
    <w:rsid w:val="0001030B"/>
    <w:rPr>
      <w:sz w:val="16"/>
      <w:szCs w:val="16"/>
    </w:rPr>
  </w:style>
  <w:style w:type="paragraph" w:styleId="CommentText">
    <w:name w:val="annotation text"/>
    <w:basedOn w:val="Normal"/>
    <w:link w:val="CommentTextChar"/>
    <w:rsid w:val="0001030B"/>
    <w:rPr>
      <w:sz w:val="20"/>
    </w:rPr>
  </w:style>
  <w:style w:type="character" w:customStyle="1" w:styleId="CommentTextChar">
    <w:name w:val="Comment Text Char"/>
    <w:basedOn w:val="DefaultParagraphFont"/>
    <w:link w:val="CommentText"/>
    <w:rsid w:val="0001030B"/>
  </w:style>
  <w:style w:type="paragraph" w:styleId="CommentSubject">
    <w:name w:val="annotation subject"/>
    <w:basedOn w:val="CommentText"/>
    <w:next w:val="CommentText"/>
    <w:link w:val="CommentSubjectChar"/>
    <w:rsid w:val="0001030B"/>
    <w:rPr>
      <w:b/>
      <w:bCs/>
    </w:rPr>
  </w:style>
  <w:style w:type="character" w:customStyle="1" w:styleId="CommentSubjectChar">
    <w:name w:val="Comment Subject Char"/>
    <w:basedOn w:val="CommentTextChar"/>
    <w:link w:val="CommentSubject"/>
    <w:rsid w:val="000103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5858">
      <w:bodyDiv w:val="1"/>
      <w:marLeft w:val="0"/>
      <w:marRight w:val="0"/>
      <w:marTop w:val="0"/>
      <w:marBottom w:val="0"/>
      <w:divBdr>
        <w:top w:val="none" w:sz="0" w:space="0" w:color="auto"/>
        <w:left w:val="none" w:sz="0" w:space="0" w:color="auto"/>
        <w:bottom w:val="none" w:sz="0" w:space="0" w:color="auto"/>
        <w:right w:val="none" w:sz="0" w:space="0" w:color="auto"/>
      </w:divBdr>
      <w:divsChild>
        <w:div w:id="20627112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7E45E-9F1F-423C-B53E-212FE66B0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795</Words>
  <Characters>4446</Characters>
  <Application>Microsoft Office Word</Application>
  <DocSecurity>0</DocSecurity>
  <Lines>211</Lines>
  <Paragraphs>98</Paragraphs>
  <ScaleCrop>false</ScaleCrop>
  <HeadingPairs>
    <vt:vector size="2" baseType="variant">
      <vt:variant>
        <vt:lpstr>Title</vt:lpstr>
      </vt:variant>
      <vt:variant>
        <vt:i4>1</vt:i4>
      </vt:variant>
    </vt:vector>
  </HeadingPairs>
  <TitlesOfParts>
    <vt:vector size="1" baseType="lpstr">
      <vt:lpstr>AMENDMENT No</vt:lpstr>
    </vt:vector>
  </TitlesOfParts>
  <Company>Unitil</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AMENDMENT No</dc:title>
  <dc:creator>Unitil</dc:creator>
  <cp:lastModifiedBy>Page, Robert</cp:lastModifiedBy>
  <cp:revision>18</cp:revision>
  <cp:lastPrinted>2018-08-17T12:48:00Z</cp:lastPrinted>
  <dcterms:created xsi:type="dcterms:W3CDTF">2020-08-03T14:38:00Z</dcterms:created>
  <dcterms:modified xsi:type="dcterms:W3CDTF">2024-10-30T16:06:00Z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-1032286935</vt:i4>
  </property>
  <property fmtid="{D5CDD505-2E9C-101B-9397-08002B2CF9AE}" pid="3" name="_EmailSubject">
    <vt:lpwstr>App_B1_PSA_Amendment_2008-07.doc</vt:lpwstr>
  </property>
  <property fmtid="{D5CDD505-2E9C-101B-9397-08002B2CF9AE}" pid="4" name="_AuthorEmail">
    <vt:lpwstr>MacInnis@unitil.com</vt:lpwstr>
  </property>
  <property fmtid="{D5CDD505-2E9C-101B-9397-08002B2CF9AE}" pid="5" name="_AuthorEmailDisplayName">
    <vt:lpwstr>MacInnis, Richard</vt:lpwstr>
  </property>
  <property fmtid="{D5CDD505-2E9C-101B-9397-08002B2CF9AE}" pid="6" name="_ReviewingToolsShownOnce">
    <vt:lpwstr/>
  </property>
  <property fmtid="{D5CDD505-2E9C-101B-9397-08002B2CF9AE}" pid="7" name="GrammarlyDocumentId">
    <vt:lpwstr>0122a004aadc6a1fe2bb2ae2e71d7856a3057ea04b13f991284550311b5493cd</vt:lpwstr>
  </property>
</Properties>
</file>